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3684"/>
        <w:gridCol w:w="1846"/>
        <w:gridCol w:w="1843"/>
        <w:gridCol w:w="1860"/>
      </w:tblGrid>
      <w:tr w:rsidR="00E966A5" w:rsidRPr="00E966A5" w:rsidTr="00865C63">
        <w:trPr>
          <w:trHeight w:val="49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Прогноз основных характеристик бюджета Дальнегорского городского округа </w:t>
            </w: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1 700 300 855,61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2 041 894 716,50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1 650 103 382,03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783 410 390,00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797 347 910,00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817 538 910,00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42 912 256,80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42 244 198,80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42 549 384,80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873 978 208,81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1 202 302 607,70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790 015 087,23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объём расходов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1 713 021 425,49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2 041 894 716,50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1 650 103 382,03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839 043 216,68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839 592 108,80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860 088 294,80</w:t>
            </w:r>
          </w:p>
        </w:tc>
      </w:tr>
      <w:tr w:rsidR="00E966A5" w:rsidRPr="00E966A5" w:rsidTr="00865C63">
        <w:trPr>
          <w:trHeight w:val="48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бюджетов других уровней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873 978 208,81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1 202 302 607,70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790 015 087,23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-12 720 569,88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6A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5905500" cy="3228975"/>
                  <wp:effectExtent l="0" t="0" r="0" b="9525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6A5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3390900</wp:posOffset>
                  </wp:positionV>
                  <wp:extent cx="5895975" cy="2924175"/>
                  <wp:effectExtent l="38100" t="57150" r="47625" b="47625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E966A5" w:rsidRPr="00E966A5" w:rsidTr="007C66D6">
              <w:trPr>
                <w:trHeight w:val="255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66A5" w:rsidRPr="00E966A5" w:rsidRDefault="00E966A5" w:rsidP="00E966A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966A5" w:rsidRPr="00E966A5" w:rsidRDefault="00E966A5" w:rsidP="00E966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6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6A5" w:rsidRPr="00E966A5" w:rsidTr="00865C63">
        <w:trPr>
          <w:trHeight w:val="25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6A5" w:rsidRPr="00E966A5" w:rsidRDefault="00E966A5" w:rsidP="00E9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468" w:rsidRPr="006C4FA7" w:rsidRDefault="009B4468" w:rsidP="00826F8F">
      <w:pPr>
        <w:ind w:left="-567"/>
      </w:pPr>
      <w:bookmarkStart w:id="0" w:name="_GoBack"/>
      <w:bookmarkEnd w:id="0"/>
    </w:p>
    <w:sectPr w:rsidR="009B4468" w:rsidRPr="006C4FA7" w:rsidSect="0082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9"/>
    <w:rsid w:val="00067F79"/>
    <w:rsid w:val="00090568"/>
    <w:rsid w:val="00345052"/>
    <w:rsid w:val="006C4FA7"/>
    <w:rsid w:val="007C66D6"/>
    <w:rsid w:val="00826F8F"/>
    <w:rsid w:val="00865C63"/>
    <w:rsid w:val="00871346"/>
    <w:rsid w:val="009B4468"/>
    <w:rsid w:val="00E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1ADA-6D7B-41B5-8513-28852BB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1\Findept\&#1051;&#1048;&#1063;&#1053;&#1067;&#1045;%20&#1055;&#1040;&#1055;&#1050;&#1048;\&#1055;&#1048;&#1053;&#1057;&#1050;&#1040;&#1071;%20&#1043;.&#1055;\&#1056;&#1072;&#1073;&#1086;&#1095;&#1072;&#1103;%20&#1076;&#1086;&#1082;&#1091;&#1084;&#1077;&#1085;&#1090;&#1072;&#1094;&#1080;&#1103;\&#1055;&#1088;&#1086;&#1077;&#1082;&#1090;%20&#1073;&#1102;&#1076;&#1078;&#1077;&#1090;&#1072;%20&#1044;&#1043;&#1054;%20&#1085;&#1072;%202022-2024%20&#1075;&#1075;\&#1087;&#1088;&#1086;&#1077;&#1082;&#1090;%20&#1073;&#1102;&#1076;&#1078;&#1077;&#1090;&#1072;%202022-202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-1\Findept\&#1051;&#1048;&#1063;&#1053;&#1067;&#1045;%20&#1055;&#1040;&#1055;&#1050;&#1048;\&#1055;&#1048;&#1053;&#1057;&#1050;&#1040;&#1071;%20&#1043;.&#1055;\&#1056;&#1072;&#1073;&#1086;&#1095;&#1072;&#1103;%20&#1076;&#1086;&#1082;&#1091;&#1084;&#1077;&#1085;&#1090;&#1072;&#1094;&#1080;&#1103;\&#1055;&#1088;&#1086;&#1077;&#1082;&#1090;%20&#1073;&#1102;&#1076;&#1078;&#1077;&#1090;&#1072;%20&#1044;&#1043;&#1054;%20&#1085;&#1072;%202022-2024%20&#1075;&#1075;\&#1087;&#1088;&#1086;&#1077;&#1082;&#1090;%20&#1073;&#1102;&#1076;&#1078;&#1077;&#1090;&#1072;%202022-202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0"/>
              <a:t>Структура доходов на 2022 год и плановый период 2023 и 2024 годов</a:t>
            </a:r>
          </a:p>
        </c:rich>
      </c:tx>
      <c:layout>
        <c:manualLayout>
          <c:xMode val="edge"/>
          <c:yMode val="edge"/>
          <c:x val="0.16776155407758497"/>
          <c:y val="3.15581854043392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498591769398233E-2"/>
          <c:y val="0.15559807123348887"/>
          <c:w val="0.88775084440561303"/>
          <c:h val="0.730074500782414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'прогноз основных хар-к'!$A$6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D65-43A1-A281-41BFD177BE8A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D65-43A1-A281-41BFD177BE8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'прогноз основных хар-к'!$B$6:$D$6</c:f>
              <c:numCache>
                <c:formatCode>#,##0.00</c:formatCode>
                <c:ptCount val="3"/>
                <c:pt idx="0">
                  <c:v>783410390</c:v>
                </c:pt>
                <c:pt idx="1">
                  <c:v>797347910</c:v>
                </c:pt>
                <c:pt idx="2">
                  <c:v>817538910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65-43A1-A281-41BFD177BE8A}"/>
            </c:ext>
          </c:extLst>
        </c:ser>
        <c:ser>
          <c:idx val="1"/>
          <c:order val="1"/>
          <c:tx>
            <c:strRef>
              <c:f>'прогноз основных хар-к'!$A$7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D65-43A1-A281-41BFD177BE8A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D65-43A1-A281-41BFD177BE8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'прогноз основных хар-к'!$B$7:$D$7</c:f>
              <c:numCache>
                <c:formatCode>#,##0.00</c:formatCode>
                <c:ptCount val="3"/>
                <c:pt idx="0">
                  <c:v>42912256.799999997</c:v>
                </c:pt>
                <c:pt idx="1">
                  <c:v>42244198.799999997</c:v>
                </c:pt>
                <c:pt idx="2">
                  <c:v>42549384.799999997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65-43A1-A281-41BFD177BE8A}"/>
            </c:ext>
          </c:extLst>
        </c:ser>
        <c:ser>
          <c:idx val="2"/>
          <c:order val="2"/>
          <c:tx>
            <c:strRef>
              <c:f>'прогноз основных хар-к'!$A$8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FD65-43A1-A281-41BFD177BE8A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FD65-43A1-A281-41BFD177BE8A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'прогноз основных хар-к'!$B$8:$D$8</c:f>
              <c:numCache>
                <c:formatCode>#,##0.00</c:formatCode>
                <c:ptCount val="3"/>
                <c:pt idx="0">
                  <c:v>873978208.80999994</c:v>
                </c:pt>
                <c:pt idx="1">
                  <c:v>1202302607.7</c:v>
                </c:pt>
                <c:pt idx="2">
                  <c:v>790015087.23000002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65-43A1-A281-41BFD177B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axId val="1423324911"/>
        <c:axId val="1"/>
      </c:barChart>
      <c:catAx>
        <c:axId val="1423324911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numFmt formatCode="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3324911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056884879681302"/>
          <c:y val="0.90319091770333437"/>
          <c:w val="0.84903277866965654"/>
          <c:h val="5.7269719983226941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Структура расходов на 2022 год и плановый период 2023 и 2024 годов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7420152026451245E-2"/>
          <c:y val="0.16156961861248825"/>
          <c:w val="0.85409499948870027"/>
          <c:h val="0.743204367972521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'прогноз основных хар-к'!$A$12</c:f>
              <c:strCache>
                <c:ptCount val="1"/>
                <c:pt idx="0">
                  <c:v>за счет средств местного бюджета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967-4042-B9BC-03B30063DBA1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967-4042-B9BC-03B30063DBA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'прогноз основных хар-к'!$B$12:$D$12</c:f>
              <c:numCache>
                <c:formatCode>#,##0.00</c:formatCode>
                <c:ptCount val="3"/>
                <c:pt idx="0">
                  <c:v>839043216.68000007</c:v>
                </c:pt>
                <c:pt idx="1">
                  <c:v>839592108.79999995</c:v>
                </c:pt>
                <c:pt idx="2">
                  <c:v>860088294.79999995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67-4042-B9BC-03B30063DBA1}"/>
            </c:ext>
          </c:extLst>
        </c:ser>
        <c:ser>
          <c:idx val="1"/>
          <c:order val="1"/>
          <c:tx>
            <c:strRef>
              <c:f>'прогноз основных хар-к'!$A$13</c:f>
              <c:strCache>
                <c:ptCount val="1"/>
                <c:pt idx="0">
                  <c:v>за счет средств бюджетов других уровней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967-4042-B9BC-03B30063DBA1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7967-4042-B9BC-03B30063DBA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'прогноз основных хар-к'!$B$3:$D$3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'прогноз основных хар-к'!$B$13:$D$13</c:f>
              <c:numCache>
                <c:formatCode>#,##0.00</c:formatCode>
                <c:ptCount val="3"/>
                <c:pt idx="0">
                  <c:v>873978208.80999994</c:v>
                </c:pt>
                <c:pt idx="1">
                  <c:v>1202302607.7</c:v>
                </c:pt>
                <c:pt idx="2">
                  <c:v>790015087.23000002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67-4042-B9BC-03B30063D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3321999"/>
        <c:axId val="1"/>
      </c:barChart>
      <c:catAx>
        <c:axId val="1423321999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numFmt formatCode="#,##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3321999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0822510822510827E-2"/>
          <c:y val="0.89473684210526316"/>
          <c:w val="0.9"/>
          <c:h val="7.9311023622047228E-2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metal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2021-10-28T23:52:00Z</cp:lastPrinted>
  <dcterms:created xsi:type="dcterms:W3CDTF">2021-10-28T08:34:00Z</dcterms:created>
  <dcterms:modified xsi:type="dcterms:W3CDTF">2021-10-29T05:51:00Z</dcterms:modified>
</cp:coreProperties>
</file>