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A" w:rsidRDefault="00AD3484" w:rsidP="00BE3ADA">
      <w:pPr>
        <w:pStyle w:val="a6"/>
        <w:ind w:left="-90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1" name="Рисунок 1" descr="http://www.gsen.ru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en.ru/gerb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DA" w:rsidRPr="00BE3ADA" w:rsidRDefault="00BE3ADA" w:rsidP="00BE3ADA">
      <w:pPr>
        <w:pStyle w:val="a4"/>
        <w:ind w:left="-1440" w:right="-545"/>
        <w:jc w:val="center"/>
        <w:rPr>
          <w:b/>
        </w:rPr>
      </w:pPr>
      <w:r w:rsidRPr="00BE3ADA">
        <w:rPr>
          <w:b/>
        </w:rPr>
        <w:t>ФЕДЕРАЛЬНАЯ СЛУЖБА ПО НАДЗОРУ В СФЕРЕ ЗАЩИТЫ ПРАВ ПОТРЕБИТЕЛЕЙ И БЛАГОПОЛУЧИЯ ЧЕЛОВЕКА</w:t>
      </w:r>
    </w:p>
    <w:p w:rsidR="00BE3ADA" w:rsidRPr="00E96203" w:rsidRDefault="00BE3ADA" w:rsidP="00BE3ADA">
      <w:pPr>
        <w:pStyle w:val="a4"/>
        <w:ind w:left="-1440" w:right="-545"/>
        <w:jc w:val="center"/>
        <w:rPr>
          <w:b/>
        </w:rPr>
      </w:pPr>
      <w:r w:rsidRPr="00E96203">
        <w:rPr>
          <w:b/>
        </w:rPr>
        <w:t xml:space="preserve">Территориальный отдел </w:t>
      </w:r>
      <w:r w:rsidR="004F0130" w:rsidRPr="00E96203">
        <w:rPr>
          <w:b/>
        </w:rPr>
        <w:t>Уп</w:t>
      </w:r>
      <w:r w:rsidRPr="00E96203">
        <w:rPr>
          <w:b/>
        </w:rPr>
        <w:t>равления Федеральной службы по надзору в сфере защиты прав потребителей и благополучия человека по Приморскому краю в г. Дальнегорске</w:t>
      </w:r>
    </w:p>
    <w:p w:rsidR="004F28EC" w:rsidRPr="00B23DE0" w:rsidRDefault="004F28EC" w:rsidP="004F28EC">
      <w:pPr>
        <w:ind w:left="-709" w:right="-545"/>
        <w:jc w:val="center"/>
        <w:rPr>
          <w:sz w:val="20"/>
          <w:szCs w:val="20"/>
        </w:rPr>
      </w:pPr>
      <w:proofErr w:type="gramStart"/>
      <w:r w:rsidRPr="00B23DE0">
        <w:rPr>
          <w:sz w:val="20"/>
          <w:szCs w:val="20"/>
        </w:rPr>
        <w:t>Инженерная</w:t>
      </w:r>
      <w:proofErr w:type="gramEnd"/>
      <w:r w:rsidRPr="00B23DE0">
        <w:rPr>
          <w:sz w:val="20"/>
          <w:szCs w:val="20"/>
        </w:rPr>
        <w:t xml:space="preserve"> ул., д.8, г. Дальнегорск, 692446</w:t>
      </w:r>
    </w:p>
    <w:p w:rsidR="004F28EC" w:rsidRPr="00B23DE0" w:rsidRDefault="004F28EC" w:rsidP="004F28EC">
      <w:pPr>
        <w:jc w:val="center"/>
        <w:rPr>
          <w:sz w:val="20"/>
          <w:szCs w:val="20"/>
          <w:u w:val="single"/>
        </w:rPr>
      </w:pPr>
      <w:r w:rsidRPr="00B23DE0">
        <w:rPr>
          <w:sz w:val="20"/>
          <w:szCs w:val="20"/>
        </w:rPr>
        <w:t xml:space="preserve">тел/факс: </w:t>
      </w:r>
      <w:r w:rsidRPr="00B23DE0">
        <w:rPr>
          <w:sz w:val="20"/>
          <w:szCs w:val="20"/>
          <w:u w:val="single"/>
        </w:rPr>
        <w:t xml:space="preserve">   8/42373/2-77-94   </w:t>
      </w:r>
      <w:r w:rsidRPr="00B23DE0">
        <w:rPr>
          <w:sz w:val="20"/>
          <w:szCs w:val="20"/>
          <w:lang w:val="en-US"/>
        </w:rPr>
        <w:t>E</w:t>
      </w:r>
      <w:r w:rsidRPr="00B23DE0">
        <w:rPr>
          <w:sz w:val="20"/>
          <w:szCs w:val="20"/>
        </w:rPr>
        <w:t>-</w:t>
      </w:r>
      <w:r w:rsidRPr="00B23DE0">
        <w:rPr>
          <w:sz w:val="20"/>
          <w:szCs w:val="20"/>
          <w:lang w:val="en-US"/>
        </w:rPr>
        <w:t>mail</w:t>
      </w:r>
      <w:hyperlink r:id="rId8" w:history="1">
        <w:r w:rsidRPr="00B23DE0">
          <w:rPr>
            <w:rStyle w:val="a5"/>
            <w:sz w:val="20"/>
            <w:szCs w:val="20"/>
          </w:rPr>
          <w:t>dalnegorsk@pk</w:t>
        </w:r>
        <w:r w:rsidRPr="00B23DE0">
          <w:rPr>
            <w:rStyle w:val="a5"/>
            <w:sz w:val="20"/>
            <w:szCs w:val="20"/>
            <w:lang w:val="en-US"/>
          </w:rPr>
          <w:t>rp</w:t>
        </w:r>
        <w:r w:rsidRPr="00B23DE0">
          <w:rPr>
            <w:rStyle w:val="a5"/>
            <w:sz w:val="20"/>
            <w:szCs w:val="20"/>
          </w:rPr>
          <w:t>n.ru</w:t>
        </w:r>
      </w:hyperlink>
      <w:r w:rsidRPr="00B23DE0">
        <w:rPr>
          <w:sz w:val="20"/>
          <w:szCs w:val="20"/>
          <w:lang w:val="en-US"/>
        </w:rPr>
        <w:t>http</w:t>
      </w:r>
      <w:r w:rsidRPr="00B23DE0">
        <w:rPr>
          <w:sz w:val="20"/>
          <w:szCs w:val="20"/>
          <w:u w:val="single"/>
        </w:rPr>
        <w:t xml:space="preserve">:/ </w:t>
      </w:r>
      <w:r w:rsidRPr="00B23DE0">
        <w:rPr>
          <w:sz w:val="20"/>
          <w:szCs w:val="20"/>
          <w:u w:val="single"/>
          <w:lang w:val="en-US"/>
        </w:rPr>
        <w:t>www</w:t>
      </w:r>
      <w:r w:rsidRPr="00B23DE0">
        <w:rPr>
          <w:sz w:val="20"/>
          <w:szCs w:val="20"/>
          <w:u w:val="single"/>
        </w:rPr>
        <w:t>.25.</w:t>
      </w:r>
      <w:proofErr w:type="spellStart"/>
      <w:r w:rsidRPr="00B23DE0">
        <w:rPr>
          <w:sz w:val="20"/>
          <w:szCs w:val="20"/>
          <w:u w:val="single"/>
          <w:lang w:val="en-US"/>
        </w:rPr>
        <w:t>rospotrebnadzor</w:t>
      </w:r>
      <w:proofErr w:type="spellEnd"/>
      <w:r w:rsidRPr="00B23DE0">
        <w:rPr>
          <w:sz w:val="20"/>
          <w:szCs w:val="20"/>
          <w:u w:val="single"/>
        </w:rPr>
        <w:t>.</w:t>
      </w:r>
      <w:proofErr w:type="spellStart"/>
      <w:r w:rsidRPr="00B23DE0">
        <w:rPr>
          <w:sz w:val="20"/>
          <w:szCs w:val="20"/>
          <w:u w:val="single"/>
          <w:lang w:val="en-US"/>
        </w:rPr>
        <w:t>ru</w:t>
      </w:r>
      <w:proofErr w:type="spellEnd"/>
    </w:p>
    <w:p w:rsidR="004F28EC" w:rsidRDefault="004F28EC" w:rsidP="004F28EC">
      <w:pPr>
        <w:jc w:val="center"/>
        <w:rPr>
          <w:sz w:val="20"/>
          <w:szCs w:val="20"/>
        </w:rPr>
      </w:pPr>
      <w:r w:rsidRPr="00B23DE0">
        <w:rPr>
          <w:sz w:val="20"/>
          <w:szCs w:val="20"/>
        </w:rPr>
        <w:t xml:space="preserve">ОКПО </w:t>
      </w:r>
      <w:r w:rsidRPr="00B23DE0">
        <w:rPr>
          <w:sz w:val="20"/>
          <w:szCs w:val="20"/>
          <w:u w:val="single"/>
        </w:rPr>
        <w:t xml:space="preserve">      74985558       </w:t>
      </w:r>
      <w:r w:rsidRPr="00B23DE0">
        <w:rPr>
          <w:sz w:val="20"/>
          <w:szCs w:val="20"/>
        </w:rPr>
        <w:t xml:space="preserve">    ОГРН </w:t>
      </w:r>
      <w:r w:rsidRPr="00B23DE0">
        <w:rPr>
          <w:sz w:val="20"/>
          <w:szCs w:val="20"/>
          <w:u w:val="single"/>
        </w:rPr>
        <w:t xml:space="preserve">   1052503717408    </w:t>
      </w:r>
      <w:r w:rsidRPr="00B23DE0">
        <w:rPr>
          <w:sz w:val="20"/>
          <w:szCs w:val="20"/>
        </w:rPr>
        <w:t xml:space="preserve"> ИНН/КПП </w:t>
      </w:r>
      <w:r w:rsidRPr="00B23DE0">
        <w:rPr>
          <w:sz w:val="20"/>
          <w:szCs w:val="20"/>
          <w:u w:val="single"/>
        </w:rPr>
        <w:t xml:space="preserve">  2538090446/25</w:t>
      </w:r>
      <w:r w:rsidR="00E411FD">
        <w:rPr>
          <w:sz w:val="20"/>
          <w:szCs w:val="20"/>
          <w:u w:val="single"/>
        </w:rPr>
        <w:t>43</w:t>
      </w:r>
      <w:r w:rsidRPr="00B23DE0">
        <w:rPr>
          <w:sz w:val="20"/>
          <w:szCs w:val="20"/>
          <w:u w:val="single"/>
        </w:rPr>
        <w:t xml:space="preserve">01001    </w:t>
      </w:r>
    </w:p>
    <w:p w:rsidR="000B5CF8" w:rsidRPr="008341E3" w:rsidRDefault="000B5CF8" w:rsidP="008341E3">
      <w:pPr>
        <w:rPr>
          <w:u w:val="single"/>
        </w:rPr>
      </w:pPr>
    </w:p>
    <w:p w:rsidR="00BE66DC" w:rsidRPr="008341E3" w:rsidRDefault="0074014E" w:rsidP="00BE66DC">
      <w:pPr>
        <w:ind w:left="-360"/>
        <w:rPr>
          <w:sz w:val="26"/>
          <w:szCs w:val="26"/>
          <w:u w:val="single"/>
        </w:rPr>
      </w:pPr>
      <w:r w:rsidRPr="008341E3">
        <w:rPr>
          <w:u w:val="single"/>
        </w:rPr>
        <w:t>20</w:t>
      </w:r>
      <w:r w:rsidR="004F0130" w:rsidRPr="008341E3">
        <w:rPr>
          <w:u w:val="single"/>
        </w:rPr>
        <w:t>.0</w:t>
      </w:r>
      <w:r w:rsidR="007B41B3" w:rsidRPr="008341E3">
        <w:rPr>
          <w:u w:val="single"/>
        </w:rPr>
        <w:t>2</w:t>
      </w:r>
      <w:r w:rsidR="004F0130" w:rsidRPr="008341E3">
        <w:rPr>
          <w:u w:val="single"/>
        </w:rPr>
        <w:t>.201</w:t>
      </w:r>
      <w:r w:rsidRPr="008341E3">
        <w:rPr>
          <w:u w:val="single"/>
        </w:rPr>
        <w:t>9</w:t>
      </w:r>
      <w:r w:rsidR="00BE66DC" w:rsidRPr="008341E3">
        <w:rPr>
          <w:u w:val="single"/>
        </w:rPr>
        <w:t>№</w:t>
      </w:r>
      <w:r w:rsidR="007B41B3" w:rsidRPr="008341E3">
        <w:rPr>
          <w:u w:val="single"/>
        </w:rPr>
        <w:t>2</w:t>
      </w:r>
      <w:r w:rsidR="008341E3" w:rsidRPr="008341E3">
        <w:rPr>
          <w:u w:val="single"/>
        </w:rPr>
        <w:t>72</w:t>
      </w:r>
      <w:r w:rsidR="004F0130" w:rsidRPr="008341E3">
        <w:rPr>
          <w:u w:val="single"/>
        </w:rPr>
        <w:t>-2/</w:t>
      </w:r>
      <w:r w:rsidR="00AD3484" w:rsidRPr="008341E3">
        <w:rPr>
          <w:u w:val="single"/>
        </w:rPr>
        <w:t>1</w:t>
      </w:r>
    </w:p>
    <w:p w:rsidR="004F0130" w:rsidRPr="00543DE3" w:rsidRDefault="004F0130" w:rsidP="004F28EC">
      <w:pPr>
        <w:rPr>
          <w:sz w:val="26"/>
          <w:szCs w:val="26"/>
        </w:rPr>
      </w:pPr>
    </w:p>
    <w:p w:rsidR="000B5CF8" w:rsidRPr="00543DE3" w:rsidRDefault="000B5CF8" w:rsidP="00847156">
      <w:pPr>
        <w:ind w:left="-851"/>
        <w:rPr>
          <w:sz w:val="26"/>
          <w:szCs w:val="26"/>
        </w:rPr>
      </w:pPr>
    </w:p>
    <w:p w:rsidR="004F28EC" w:rsidRPr="008341E3" w:rsidRDefault="004F28EC" w:rsidP="00847156">
      <w:pPr>
        <w:ind w:left="-851"/>
        <w:rPr>
          <w:sz w:val="26"/>
          <w:szCs w:val="26"/>
        </w:rPr>
      </w:pPr>
      <w:r w:rsidRPr="008341E3">
        <w:rPr>
          <w:sz w:val="26"/>
          <w:szCs w:val="26"/>
        </w:rPr>
        <w:t xml:space="preserve">О состоянии </w:t>
      </w:r>
      <w:r w:rsidR="00543DE3" w:rsidRPr="008341E3">
        <w:rPr>
          <w:sz w:val="26"/>
          <w:szCs w:val="26"/>
        </w:rPr>
        <w:t xml:space="preserve">условий труда и </w:t>
      </w:r>
      <w:proofErr w:type="gramStart"/>
      <w:r w:rsidRPr="008341E3">
        <w:rPr>
          <w:sz w:val="26"/>
          <w:szCs w:val="26"/>
        </w:rPr>
        <w:t>профессиональной</w:t>
      </w:r>
      <w:proofErr w:type="gramEnd"/>
    </w:p>
    <w:p w:rsidR="004F28EC" w:rsidRPr="008341E3" w:rsidRDefault="004F28EC" w:rsidP="00847156">
      <w:pPr>
        <w:ind w:left="-851"/>
        <w:rPr>
          <w:sz w:val="26"/>
          <w:szCs w:val="26"/>
        </w:rPr>
      </w:pPr>
      <w:r w:rsidRPr="008341E3">
        <w:rPr>
          <w:sz w:val="26"/>
          <w:szCs w:val="26"/>
        </w:rPr>
        <w:t>заболеваемости на территории</w:t>
      </w:r>
    </w:p>
    <w:p w:rsidR="004F28EC" w:rsidRPr="008341E3" w:rsidRDefault="004F28EC" w:rsidP="00847156">
      <w:pPr>
        <w:ind w:left="-851"/>
        <w:rPr>
          <w:sz w:val="26"/>
          <w:szCs w:val="26"/>
        </w:rPr>
      </w:pPr>
      <w:r w:rsidRPr="008341E3">
        <w:rPr>
          <w:sz w:val="26"/>
          <w:szCs w:val="26"/>
        </w:rPr>
        <w:t>Дальнегорского городского округа в 201</w:t>
      </w:r>
      <w:r w:rsidR="0074014E" w:rsidRPr="008341E3">
        <w:rPr>
          <w:sz w:val="26"/>
          <w:szCs w:val="26"/>
        </w:rPr>
        <w:t>8</w:t>
      </w:r>
      <w:r w:rsidR="00BE66DC" w:rsidRPr="008341E3">
        <w:rPr>
          <w:sz w:val="26"/>
          <w:szCs w:val="26"/>
        </w:rPr>
        <w:t>г.</w:t>
      </w:r>
    </w:p>
    <w:p w:rsidR="007B41B3" w:rsidRPr="006E5CBD" w:rsidRDefault="007B41B3" w:rsidP="006E5CBD">
      <w:pPr>
        <w:pStyle w:val="20"/>
        <w:spacing w:after="0" w:line="240" w:lineRule="auto"/>
        <w:ind w:left="-709"/>
        <w:jc w:val="both"/>
        <w:rPr>
          <w:sz w:val="26"/>
          <w:szCs w:val="26"/>
        </w:rPr>
      </w:pPr>
    </w:p>
    <w:p w:rsidR="007A0923" w:rsidRPr="006E5CBD" w:rsidRDefault="007B41B3" w:rsidP="006E5CBD">
      <w:pPr>
        <w:pStyle w:val="20"/>
        <w:spacing w:after="0" w:line="240" w:lineRule="auto"/>
        <w:ind w:left="-709" w:firstLine="708"/>
        <w:jc w:val="both"/>
        <w:rPr>
          <w:sz w:val="26"/>
          <w:szCs w:val="26"/>
        </w:rPr>
      </w:pPr>
      <w:r w:rsidRPr="006E5CBD">
        <w:rPr>
          <w:sz w:val="26"/>
          <w:szCs w:val="26"/>
        </w:rPr>
        <w:t>На дислокации в территориальном отделе Управления Роспотребнадзора по Приморскому краю в г. Дальнегорске в 201</w:t>
      </w:r>
      <w:r w:rsidR="0074014E">
        <w:rPr>
          <w:sz w:val="26"/>
          <w:szCs w:val="26"/>
        </w:rPr>
        <w:t>8</w:t>
      </w:r>
      <w:r w:rsidRPr="006E5CBD">
        <w:rPr>
          <w:sz w:val="26"/>
          <w:szCs w:val="26"/>
        </w:rPr>
        <w:t xml:space="preserve">г. количество предприятий в сравнении с 2017 годом не изменилось. </w:t>
      </w:r>
      <w:r w:rsidR="007A0923" w:rsidRPr="006E5CBD">
        <w:rPr>
          <w:sz w:val="26"/>
          <w:szCs w:val="26"/>
        </w:rPr>
        <w:t xml:space="preserve">Ведущими отраслями экономики на территории </w:t>
      </w:r>
      <w:r w:rsidR="001758DD" w:rsidRPr="006E5CBD">
        <w:rPr>
          <w:sz w:val="26"/>
          <w:szCs w:val="26"/>
        </w:rPr>
        <w:t>Дальнегорского городского округа являются: химическая промышленность, добыча металлических руд, лесное хозяйство</w:t>
      </w:r>
      <w:r w:rsidR="00347C70" w:rsidRPr="006E5CBD">
        <w:rPr>
          <w:sz w:val="26"/>
          <w:szCs w:val="26"/>
        </w:rPr>
        <w:t>, транспорт.</w:t>
      </w:r>
    </w:p>
    <w:p w:rsidR="007B41B3" w:rsidRDefault="007B41B3" w:rsidP="006E5CBD">
      <w:pPr>
        <w:ind w:left="-709" w:firstLine="709"/>
        <w:jc w:val="both"/>
        <w:rPr>
          <w:sz w:val="26"/>
          <w:szCs w:val="26"/>
        </w:rPr>
      </w:pPr>
      <w:r w:rsidRPr="006E5CBD">
        <w:rPr>
          <w:sz w:val="26"/>
          <w:szCs w:val="26"/>
        </w:rPr>
        <w:t xml:space="preserve">Специалистами территориального отдела в г. Дальнегорске проводились мероприятия по контролю на промышленных предприятиях с привлечением аккредитованной лаборатории филиала ФБУЗ «Центр гигиены и эпидемиологии в г. Дальнегорске. </w:t>
      </w:r>
    </w:p>
    <w:p w:rsidR="0074014E" w:rsidRDefault="0074014E" w:rsidP="0074014E">
      <w:pPr>
        <w:ind w:left="-709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74014E" w:rsidRPr="00031D2B" w:rsidRDefault="0074014E" w:rsidP="0074014E">
      <w:pPr>
        <w:pStyle w:val="30"/>
        <w:jc w:val="center"/>
        <w:rPr>
          <w:spacing w:val="20"/>
          <w:szCs w:val="24"/>
        </w:rPr>
      </w:pPr>
      <w:r w:rsidRPr="00031D2B">
        <w:rPr>
          <w:szCs w:val="24"/>
        </w:rPr>
        <w:t>Оценка  лабораторно-инструментальных  исследований  рабочих  мест  на  промышленных  предприятиях  Дальнегорского  ГО, выполненных ИЛЦ филиала ФБУЗ «Центр гигиены  и эпидемиологии в г. Дальнегорске» за 2014-2018гг.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773"/>
        <w:gridCol w:w="773"/>
        <w:gridCol w:w="774"/>
        <w:gridCol w:w="773"/>
        <w:gridCol w:w="774"/>
        <w:gridCol w:w="773"/>
        <w:gridCol w:w="773"/>
        <w:gridCol w:w="774"/>
        <w:gridCol w:w="773"/>
        <w:gridCol w:w="774"/>
        <w:gridCol w:w="773"/>
        <w:gridCol w:w="774"/>
      </w:tblGrid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 xml:space="preserve">Год 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gramStart"/>
            <w:r w:rsidRPr="0074014E">
              <w:rPr>
                <w:spacing w:val="20"/>
                <w:sz w:val="22"/>
                <w:szCs w:val="22"/>
              </w:rPr>
              <w:t>.н</w:t>
            </w:r>
            <w:proofErr w:type="gramEnd"/>
            <w:r w:rsidRPr="0074014E">
              <w:rPr>
                <w:spacing w:val="20"/>
                <w:sz w:val="22"/>
                <w:szCs w:val="22"/>
              </w:rPr>
              <w:t>апары,газы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gramStart"/>
            <w:r w:rsidRPr="0074014E">
              <w:rPr>
                <w:spacing w:val="20"/>
                <w:sz w:val="22"/>
                <w:szCs w:val="22"/>
              </w:rPr>
              <w:t>.н</w:t>
            </w:r>
            <w:proofErr w:type="gramEnd"/>
            <w:r w:rsidRPr="0074014E">
              <w:rPr>
                <w:spacing w:val="20"/>
                <w:sz w:val="22"/>
                <w:szCs w:val="22"/>
              </w:rPr>
              <w:t>апыль,аэроз</w:t>
            </w:r>
            <w:proofErr w:type="spellEnd"/>
            <w:r w:rsidRPr="0074014E">
              <w:rPr>
                <w:spacing w:val="20"/>
                <w:sz w:val="22"/>
                <w:szCs w:val="22"/>
              </w:rPr>
              <w:t>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spellEnd"/>
            <w:r w:rsidRPr="0074014E">
              <w:rPr>
                <w:spacing w:val="20"/>
                <w:sz w:val="22"/>
                <w:szCs w:val="22"/>
              </w:rPr>
              <w:t>. на шум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spellEnd"/>
            <w:r w:rsidRPr="0074014E">
              <w:rPr>
                <w:spacing w:val="20"/>
                <w:sz w:val="22"/>
                <w:szCs w:val="22"/>
              </w:rPr>
              <w:t>. на вибрацию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spellEnd"/>
            <w:r w:rsidRPr="0074014E">
              <w:rPr>
                <w:spacing w:val="2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ос-вещённости</w:t>
            </w:r>
            <w:proofErr w:type="spellEnd"/>
            <w:proofErr w:type="gram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r w:rsidRPr="0074014E">
              <w:rPr>
                <w:spacing w:val="20"/>
                <w:sz w:val="22"/>
                <w:szCs w:val="22"/>
              </w:rPr>
              <w:t>Исслед</w:t>
            </w:r>
            <w:proofErr w:type="spellEnd"/>
            <w:r w:rsidRPr="0074014E">
              <w:rPr>
                <w:spacing w:val="20"/>
                <w:sz w:val="22"/>
                <w:szCs w:val="22"/>
              </w:rPr>
              <w:t>. микроклимата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%</w:t>
            </w: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вы-ше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ПДК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%</w:t>
            </w: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вы-ше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ПДК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%</w:t>
            </w: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вы-ше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ПДУ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%</w:t>
            </w:r>
            <w:proofErr w:type="spellStart"/>
            <w:proofErr w:type="gramStart"/>
            <w:r w:rsidRPr="0074014E">
              <w:rPr>
                <w:spacing w:val="20"/>
                <w:sz w:val="22"/>
                <w:szCs w:val="22"/>
              </w:rPr>
              <w:t>вы-ше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ПДУ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 xml:space="preserve">%не </w:t>
            </w:r>
            <w:proofErr w:type="gramStart"/>
            <w:r w:rsidRPr="0074014E">
              <w:rPr>
                <w:spacing w:val="20"/>
                <w:sz w:val="22"/>
                <w:szCs w:val="22"/>
              </w:rPr>
              <w:t xml:space="preserve">от </w:t>
            </w:r>
            <w:proofErr w:type="spellStart"/>
            <w:r w:rsidRPr="0074014E">
              <w:rPr>
                <w:spacing w:val="20"/>
                <w:sz w:val="22"/>
                <w:szCs w:val="22"/>
              </w:rPr>
              <w:t>вечает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СН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20"/>
                <w:sz w:val="22"/>
                <w:szCs w:val="22"/>
              </w:rPr>
            </w:pPr>
            <w:r w:rsidRPr="0074014E">
              <w:rPr>
                <w:spacing w:val="20"/>
                <w:sz w:val="22"/>
                <w:szCs w:val="22"/>
              </w:rPr>
              <w:t xml:space="preserve">%не </w:t>
            </w:r>
            <w:proofErr w:type="gramStart"/>
            <w:r w:rsidRPr="0074014E">
              <w:rPr>
                <w:spacing w:val="20"/>
                <w:sz w:val="22"/>
                <w:szCs w:val="22"/>
              </w:rPr>
              <w:t xml:space="preserve">от </w:t>
            </w:r>
            <w:proofErr w:type="spellStart"/>
            <w:r w:rsidRPr="0074014E">
              <w:rPr>
                <w:spacing w:val="20"/>
                <w:sz w:val="22"/>
                <w:szCs w:val="22"/>
              </w:rPr>
              <w:t>вечает</w:t>
            </w:r>
            <w:proofErr w:type="spellEnd"/>
            <w:proofErr w:type="gramEnd"/>
            <w:r w:rsidRPr="0074014E">
              <w:rPr>
                <w:spacing w:val="20"/>
                <w:sz w:val="22"/>
                <w:szCs w:val="22"/>
              </w:rPr>
              <w:t xml:space="preserve"> СН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35,7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63,3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13,2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33,3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4,5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16,7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16,4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30,6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11,5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8,8</w:t>
            </w:r>
          </w:p>
        </w:tc>
      </w:tr>
      <w:tr w:rsidR="0074014E" w:rsidRPr="00031D2B" w:rsidTr="0074014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81,5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</w:rPr>
            </w:pPr>
            <w:r w:rsidRPr="00031D2B">
              <w:rPr>
                <w:spacing w:val="20"/>
              </w:rPr>
              <w:t>26,1</w:t>
            </w:r>
          </w:p>
        </w:tc>
      </w:tr>
    </w:tbl>
    <w:p w:rsidR="0074014E" w:rsidRPr="00031D2B" w:rsidRDefault="0074014E" w:rsidP="0074014E">
      <w:pPr>
        <w:jc w:val="both"/>
        <w:rPr>
          <w:spacing w:val="20"/>
          <w:sz w:val="22"/>
          <w:szCs w:val="22"/>
        </w:rPr>
      </w:pPr>
    </w:p>
    <w:p w:rsidR="0074014E" w:rsidRPr="00031D2B" w:rsidRDefault="0074014E" w:rsidP="0074014E">
      <w:pPr>
        <w:jc w:val="both"/>
        <w:rPr>
          <w:spacing w:val="20"/>
          <w:sz w:val="22"/>
          <w:szCs w:val="22"/>
        </w:rPr>
      </w:pPr>
    </w:p>
    <w:p w:rsidR="0074014E" w:rsidRPr="0074014E" w:rsidRDefault="0074014E" w:rsidP="0074014E">
      <w:pPr>
        <w:jc w:val="both"/>
        <w:rPr>
          <w:spacing w:val="20"/>
          <w:sz w:val="22"/>
          <w:szCs w:val="22"/>
        </w:rPr>
      </w:pPr>
      <w:r w:rsidRPr="00031D2B">
        <w:rPr>
          <w:noProof/>
          <w:spacing w:val="20"/>
          <w:sz w:val="22"/>
        </w:rPr>
        <w:lastRenderedPageBreak/>
        <w:drawing>
          <wp:inline distT="0" distB="0" distL="0" distR="0">
            <wp:extent cx="5543550" cy="352425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14E" w:rsidRPr="00031D2B" w:rsidRDefault="0074014E" w:rsidP="0074014E">
      <w:pPr>
        <w:jc w:val="center"/>
        <w:rPr>
          <w:spacing w:val="20"/>
        </w:rPr>
      </w:pPr>
      <w:r w:rsidRPr="00031D2B">
        <w:t xml:space="preserve">рис. 1 </w:t>
      </w:r>
      <w:r>
        <w:t>Динамика</w:t>
      </w:r>
      <w:r w:rsidRPr="00031D2B">
        <w:t xml:space="preserve"> лабораторно-инструментальных  исследований и измерений, проведенных на рабочих местах промышленных предприятий за 2014 –2018г.г.</w:t>
      </w:r>
    </w:p>
    <w:p w:rsidR="0074014E" w:rsidRPr="00031D2B" w:rsidRDefault="0074014E" w:rsidP="0074014E">
      <w:pPr>
        <w:ind w:firstLine="708"/>
        <w:jc w:val="both"/>
      </w:pPr>
    </w:p>
    <w:p w:rsidR="0074014E" w:rsidRPr="008341E3" w:rsidRDefault="0074014E" w:rsidP="00DD7CDE">
      <w:pPr>
        <w:ind w:left="-426" w:firstLine="426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Анализ лабораторно инструментальных исследований показал, что  течение 5  лет с 2014 по 2018 год не регистрируются исследования воздуха рабочей зоны, превышающие ПДК по парам и газам. В течение последних двух лет  не выявлено исследований на пыль и аэрозоли, превышающих санитарные нормы. В 2018г. уровни освещённости рабочих мест соответствуют санитарным нормам.</w:t>
      </w:r>
    </w:p>
    <w:p w:rsidR="0074014E" w:rsidRPr="008341E3" w:rsidRDefault="0074014E" w:rsidP="00DD7CDE">
      <w:pPr>
        <w:ind w:left="-426" w:firstLine="426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На протяжении последних 3 лет (2016-2018г.г.) удельный вес неудовлетворительных замеров шума практически не изменяется и остается стабильно высоким (60-63%). </w:t>
      </w:r>
    </w:p>
    <w:p w:rsidR="0074014E" w:rsidRPr="008341E3" w:rsidRDefault="0074014E" w:rsidP="00DD7CDE">
      <w:pPr>
        <w:ind w:left="-426" w:firstLine="426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В 2018г. значительно вырос удельный вес несоответствующих замеров вибрации (в сравнении с 2014г. на 46,6%). Так же увеличилось количество замеров, не отвечающих санитарным правилам по микроклимату (в сравнении с 2014г. на 12,9%, в сравнении с 2017г. – на 17,3%).  </w:t>
      </w:r>
    </w:p>
    <w:p w:rsidR="00DD7CDE" w:rsidRPr="008341E3" w:rsidRDefault="0074014E" w:rsidP="00DD7CDE">
      <w:pPr>
        <w:ind w:left="-426" w:firstLine="426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Основными причинами несоответствия физических факторов на промышленных объектах являются: изношенность</w:t>
      </w:r>
      <w:r w:rsidR="00DD7CDE" w:rsidRPr="008341E3">
        <w:rPr>
          <w:sz w:val="26"/>
          <w:szCs w:val="26"/>
        </w:rPr>
        <w:t xml:space="preserve"> технологического оборудования.</w:t>
      </w:r>
    </w:p>
    <w:p w:rsidR="0074014E" w:rsidRPr="008341E3" w:rsidRDefault="0074014E" w:rsidP="00DD7CDE">
      <w:pPr>
        <w:ind w:left="-426" w:firstLine="426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Одними из основных источников шума и вибрации является транспорт. </w:t>
      </w:r>
    </w:p>
    <w:p w:rsidR="0074014E" w:rsidRPr="00031D2B" w:rsidRDefault="0074014E" w:rsidP="0074014E">
      <w:pPr>
        <w:pStyle w:val="30"/>
        <w:tabs>
          <w:tab w:val="left" w:pos="8460"/>
        </w:tabs>
        <w:ind w:right="4" w:firstLine="720"/>
        <w:jc w:val="right"/>
        <w:rPr>
          <w:szCs w:val="24"/>
        </w:rPr>
      </w:pPr>
      <w:r>
        <w:rPr>
          <w:szCs w:val="24"/>
        </w:rPr>
        <w:t>Таблица 2</w:t>
      </w:r>
    </w:p>
    <w:p w:rsidR="0074014E" w:rsidRDefault="0074014E" w:rsidP="0074014E">
      <w:pPr>
        <w:pStyle w:val="30"/>
        <w:jc w:val="center"/>
        <w:rPr>
          <w:bCs/>
          <w:sz w:val="22"/>
          <w:szCs w:val="24"/>
        </w:rPr>
      </w:pPr>
      <w:r w:rsidRPr="00031D2B">
        <w:rPr>
          <w:bCs/>
          <w:sz w:val="22"/>
          <w:szCs w:val="24"/>
        </w:rPr>
        <w:t>Оценка   лабораторно-инструментальных  исследований  рабочих  мест  на  транспорте и предприятиях транспортной инфраструктуры за 2014-2018гг.</w:t>
      </w:r>
    </w:p>
    <w:p w:rsidR="00DD7CDE" w:rsidRPr="00031D2B" w:rsidRDefault="00DD7CDE" w:rsidP="0074014E">
      <w:pPr>
        <w:pStyle w:val="30"/>
        <w:jc w:val="center"/>
        <w:rPr>
          <w:bCs/>
          <w:sz w:val="22"/>
          <w:szCs w:val="24"/>
        </w:rPr>
      </w:pPr>
    </w:p>
    <w:tbl>
      <w:tblPr>
        <w:tblW w:w="9933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758"/>
        <w:gridCol w:w="753"/>
        <w:gridCol w:w="7"/>
        <w:gridCol w:w="760"/>
        <w:gridCol w:w="760"/>
        <w:gridCol w:w="9"/>
        <w:gridCol w:w="750"/>
        <w:gridCol w:w="762"/>
        <w:gridCol w:w="760"/>
        <w:gridCol w:w="754"/>
        <w:gridCol w:w="631"/>
        <w:gridCol w:w="881"/>
        <w:gridCol w:w="773"/>
        <w:gridCol w:w="760"/>
      </w:tblGrid>
      <w:tr w:rsidR="0074014E" w:rsidRPr="00031D2B" w:rsidTr="0074014E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both"/>
              <w:rPr>
                <w:spacing w:val="20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gramStart"/>
            <w:r w:rsidRPr="0074014E">
              <w:rPr>
                <w:spacing w:val="-20"/>
                <w:sz w:val="22"/>
              </w:rPr>
              <w:t>.н</w:t>
            </w:r>
            <w:proofErr w:type="gramEnd"/>
            <w:r w:rsidRPr="0074014E">
              <w:rPr>
                <w:spacing w:val="-20"/>
                <w:sz w:val="22"/>
              </w:rPr>
              <w:t>апары,газы</w:t>
            </w:r>
            <w:proofErr w:type="spellEnd"/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gramStart"/>
            <w:r w:rsidRPr="0074014E">
              <w:rPr>
                <w:spacing w:val="-20"/>
                <w:sz w:val="22"/>
              </w:rPr>
              <w:t>.н</w:t>
            </w:r>
            <w:proofErr w:type="gramEnd"/>
            <w:r w:rsidRPr="0074014E">
              <w:rPr>
                <w:spacing w:val="-20"/>
                <w:sz w:val="22"/>
              </w:rPr>
              <w:t>а</w:t>
            </w:r>
            <w:proofErr w:type="spellEnd"/>
            <w:r w:rsidRPr="0074014E">
              <w:rPr>
                <w:spacing w:val="-20"/>
                <w:sz w:val="22"/>
              </w:rPr>
              <w:t xml:space="preserve"> пыль и аэрозоль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spellEnd"/>
            <w:r w:rsidRPr="0074014E">
              <w:rPr>
                <w:spacing w:val="-20"/>
                <w:sz w:val="22"/>
              </w:rPr>
              <w:t>. на шум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spellEnd"/>
            <w:r w:rsidRPr="0074014E">
              <w:rPr>
                <w:spacing w:val="-20"/>
                <w:sz w:val="22"/>
              </w:rPr>
              <w:t>. на вибрацию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spellEnd"/>
            <w:r w:rsidRPr="0074014E">
              <w:rPr>
                <w:spacing w:val="-20"/>
                <w:sz w:val="22"/>
              </w:rPr>
              <w:t xml:space="preserve">. </w:t>
            </w:r>
            <w:proofErr w:type="spellStart"/>
            <w:proofErr w:type="gramStart"/>
            <w:r w:rsidRPr="0074014E">
              <w:rPr>
                <w:spacing w:val="-20"/>
                <w:sz w:val="22"/>
              </w:rPr>
              <w:t>ос-вещённости</w:t>
            </w:r>
            <w:proofErr w:type="spellEnd"/>
            <w:proofErr w:type="gramEnd"/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r w:rsidRPr="0074014E">
              <w:rPr>
                <w:spacing w:val="-20"/>
                <w:sz w:val="22"/>
              </w:rPr>
              <w:t>Исслед</w:t>
            </w:r>
            <w:proofErr w:type="spellEnd"/>
            <w:r w:rsidRPr="0074014E">
              <w:rPr>
                <w:spacing w:val="-20"/>
                <w:sz w:val="22"/>
              </w:rPr>
              <w:t xml:space="preserve">. </w:t>
            </w:r>
            <w:proofErr w:type="spellStart"/>
            <w:r w:rsidRPr="0074014E">
              <w:rPr>
                <w:spacing w:val="-20"/>
                <w:sz w:val="22"/>
              </w:rPr>
              <w:t>микрокл-та</w:t>
            </w:r>
            <w:proofErr w:type="spellEnd"/>
          </w:p>
        </w:tc>
      </w:tr>
      <w:tr w:rsidR="0074014E" w:rsidRPr="00031D2B" w:rsidTr="0074014E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4E" w:rsidRPr="00031D2B" w:rsidRDefault="0074014E" w:rsidP="0074014E">
            <w:pPr>
              <w:rPr>
                <w:spacing w:val="2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r w:rsidRPr="0074014E">
              <w:rPr>
                <w:spacing w:val="-20"/>
                <w:sz w:val="22"/>
              </w:rPr>
              <w:t>%</w:t>
            </w:r>
            <w:proofErr w:type="spellStart"/>
            <w:proofErr w:type="gramStart"/>
            <w:r w:rsidRPr="0074014E">
              <w:rPr>
                <w:spacing w:val="-20"/>
                <w:sz w:val="22"/>
              </w:rPr>
              <w:t>вы-ше</w:t>
            </w:r>
            <w:proofErr w:type="spellEnd"/>
            <w:proofErr w:type="gramEnd"/>
            <w:r w:rsidRPr="0074014E">
              <w:rPr>
                <w:spacing w:val="-20"/>
                <w:sz w:val="22"/>
              </w:rPr>
              <w:t xml:space="preserve"> ПДК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r w:rsidRPr="0074014E">
              <w:rPr>
                <w:spacing w:val="-20"/>
                <w:sz w:val="22"/>
              </w:rPr>
              <w:t>%</w:t>
            </w:r>
            <w:proofErr w:type="spellStart"/>
            <w:proofErr w:type="gramStart"/>
            <w:r w:rsidRPr="0074014E">
              <w:rPr>
                <w:spacing w:val="-20"/>
                <w:sz w:val="22"/>
              </w:rPr>
              <w:t>вы-ше</w:t>
            </w:r>
            <w:proofErr w:type="spellEnd"/>
            <w:proofErr w:type="gramEnd"/>
            <w:r w:rsidRPr="0074014E">
              <w:rPr>
                <w:spacing w:val="-20"/>
                <w:sz w:val="22"/>
              </w:rPr>
              <w:t xml:space="preserve"> ПДК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r w:rsidRPr="0074014E">
              <w:rPr>
                <w:spacing w:val="-20"/>
                <w:sz w:val="22"/>
              </w:rPr>
              <w:t>%</w:t>
            </w:r>
            <w:proofErr w:type="spellStart"/>
            <w:proofErr w:type="gramStart"/>
            <w:r w:rsidRPr="0074014E">
              <w:rPr>
                <w:spacing w:val="-20"/>
                <w:sz w:val="22"/>
              </w:rPr>
              <w:t>вы-ше</w:t>
            </w:r>
            <w:proofErr w:type="spellEnd"/>
            <w:proofErr w:type="gramEnd"/>
            <w:r w:rsidRPr="0074014E">
              <w:rPr>
                <w:spacing w:val="-20"/>
                <w:sz w:val="22"/>
              </w:rPr>
              <w:t xml:space="preserve"> ПДУ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r w:rsidRPr="0074014E">
              <w:rPr>
                <w:spacing w:val="-20"/>
                <w:sz w:val="22"/>
              </w:rPr>
              <w:t>%</w:t>
            </w:r>
            <w:proofErr w:type="spellStart"/>
            <w:proofErr w:type="gramStart"/>
            <w:r w:rsidRPr="0074014E">
              <w:rPr>
                <w:spacing w:val="-20"/>
                <w:sz w:val="22"/>
              </w:rPr>
              <w:t>вы-ше</w:t>
            </w:r>
            <w:proofErr w:type="spellEnd"/>
            <w:proofErr w:type="gramEnd"/>
            <w:r w:rsidRPr="0074014E">
              <w:rPr>
                <w:spacing w:val="-20"/>
                <w:sz w:val="22"/>
              </w:rPr>
              <w:t xml:space="preserve"> ПДУ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</w:rPr>
            </w:pPr>
            <w:r w:rsidRPr="0074014E">
              <w:rPr>
                <w:spacing w:val="-20"/>
              </w:rPr>
              <w:t xml:space="preserve">%не от </w:t>
            </w:r>
            <w:proofErr w:type="spellStart"/>
            <w:r w:rsidRPr="0074014E">
              <w:rPr>
                <w:spacing w:val="-20"/>
              </w:rPr>
              <w:t>вечаетСН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  <w:sz w:val="22"/>
              </w:rPr>
            </w:pPr>
            <w:proofErr w:type="spellStart"/>
            <w:proofErr w:type="gramStart"/>
            <w:r w:rsidRPr="0074014E">
              <w:rPr>
                <w:spacing w:val="-20"/>
                <w:sz w:val="22"/>
              </w:rPr>
              <w:t>Все-го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74014E" w:rsidRDefault="0074014E" w:rsidP="0074014E">
            <w:pPr>
              <w:jc w:val="both"/>
              <w:rPr>
                <w:spacing w:val="-20"/>
              </w:rPr>
            </w:pPr>
            <w:r w:rsidRPr="0074014E">
              <w:rPr>
                <w:spacing w:val="-20"/>
              </w:rPr>
              <w:t xml:space="preserve">%не от </w:t>
            </w:r>
            <w:proofErr w:type="spellStart"/>
            <w:r w:rsidRPr="0074014E">
              <w:rPr>
                <w:spacing w:val="-20"/>
              </w:rPr>
              <w:t>вечаетСН</w:t>
            </w:r>
            <w:proofErr w:type="spellEnd"/>
          </w:p>
        </w:tc>
      </w:tr>
      <w:tr w:rsidR="0074014E" w:rsidRPr="00031D2B" w:rsidTr="0074014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75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30,8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50</w:t>
            </w:r>
          </w:p>
        </w:tc>
      </w:tr>
      <w:tr w:rsidR="0074014E" w:rsidRPr="00031D2B" w:rsidTr="0074014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33,3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42,9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</w:tr>
      <w:tr w:rsidR="0074014E" w:rsidRPr="00031D2B" w:rsidTr="0074014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42,8</w:t>
            </w:r>
          </w:p>
        </w:tc>
      </w:tr>
      <w:tr w:rsidR="0074014E" w:rsidRPr="00031D2B" w:rsidTr="0074014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2017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</w:tr>
      <w:tr w:rsidR="0074014E" w:rsidRPr="00031D2B" w:rsidTr="0074014E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75,0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E" w:rsidRPr="00031D2B" w:rsidRDefault="0074014E" w:rsidP="0074014E">
            <w:pPr>
              <w:jc w:val="center"/>
              <w:rPr>
                <w:spacing w:val="20"/>
                <w:sz w:val="22"/>
              </w:rPr>
            </w:pPr>
            <w:r w:rsidRPr="00031D2B">
              <w:rPr>
                <w:spacing w:val="20"/>
                <w:sz w:val="22"/>
              </w:rPr>
              <w:t>0</w:t>
            </w:r>
          </w:p>
        </w:tc>
      </w:tr>
    </w:tbl>
    <w:p w:rsidR="007B41B3" w:rsidRPr="008341E3" w:rsidRDefault="00DD7CDE" w:rsidP="00DD7CDE">
      <w:pPr>
        <w:ind w:left="-709" w:firstLine="70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Анализ</w:t>
      </w:r>
      <w:r w:rsidRPr="008341E3">
        <w:rPr>
          <w:bCs/>
          <w:sz w:val="26"/>
          <w:szCs w:val="26"/>
        </w:rPr>
        <w:t xml:space="preserve"> лабораторно-инструментальных  исследований  рабочих  мест  на  транспорте и предприятиях транспортной инфраструктуры в 2018г. показала, что </w:t>
      </w:r>
      <w:r w:rsidRPr="008341E3">
        <w:rPr>
          <w:sz w:val="26"/>
          <w:szCs w:val="26"/>
        </w:rPr>
        <w:t xml:space="preserve">проб с </w:t>
      </w:r>
      <w:r w:rsidRPr="008341E3">
        <w:rPr>
          <w:sz w:val="26"/>
          <w:szCs w:val="26"/>
        </w:rPr>
        <w:lastRenderedPageBreak/>
        <w:t xml:space="preserve">превышением ПДК на пары и газы не выявлено. На протяжении 2 лет (2017-2018г.г.) замеры микроклимата на транспорте соответствуют санитарным нормам. Удельный вес рабочих мест несоответствующих по уровням шума и  вибрации остается высоким, но в сравнении с 2017г. произошло снижение на 50% по шуму и на 25% по вибрации. </w:t>
      </w:r>
    </w:p>
    <w:p w:rsidR="007B41B3" w:rsidRPr="008341E3" w:rsidRDefault="006E5CBD" w:rsidP="006E5CBD">
      <w:pPr>
        <w:ind w:left="-709" w:firstLine="567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Таким образом, можно определить, что основными  факторами риска развития профессиональных заболеваний, другими словами вредными производственными факторами условий труда, способными вызвать профессиональные заболевания на промышленных предприятиях Дальнегорского городского округа являются: повышенные уровни вибрации (локальной и общей), производственного шума, неудовлетворительные параметры микроклимата. Многие из вышеперечисленных факторов действуют на организм работающих в комплексе, что приводит к более быстрому развитию заболевания связанных с профессиональной деятельностью рабочих.</w:t>
      </w:r>
    </w:p>
    <w:p w:rsidR="000C4A63" w:rsidRPr="008341E3" w:rsidRDefault="006E5CBD" w:rsidP="00F55BA8">
      <w:pPr>
        <w:spacing w:line="210" w:lineRule="atLeast"/>
        <w:ind w:left="-709" w:firstLine="992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При проведении мероприятий по контролю сталкиваемся с тем, что работодателями не организован производственный контроль за соблюдением санитарных правил и выполнением санитарно-противоэпидемических мероприятий в части своевременного проведения лабораторно-инструментальных исследований факторов производственной среды, что является нарушением требований п.4.1 СП 1.1.1058-01«Организация и проведение производственного контроля за соблюдением санитарных правил и выполнением санитарно- противоэпидемических мероприятий» (изменения и дополнения №1 к СП</w:t>
      </w:r>
      <w:proofErr w:type="gramStart"/>
      <w:r w:rsidRPr="008341E3">
        <w:rPr>
          <w:sz w:val="26"/>
          <w:szCs w:val="26"/>
        </w:rPr>
        <w:t>1</w:t>
      </w:r>
      <w:proofErr w:type="gramEnd"/>
      <w:r w:rsidRPr="008341E3">
        <w:rPr>
          <w:sz w:val="26"/>
          <w:szCs w:val="26"/>
        </w:rPr>
        <w:t>.1.1058-01, СП 1.1.2193-07, утвержденные постановлением от 27.03.2007г.), ст.32 ФЗ №52 от 30.03.1999г. «О санитарно-эпидемиологическом благополучии населения»</w:t>
      </w:r>
      <w:proofErr w:type="gramStart"/>
      <w:r w:rsidRPr="008341E3">
        <w:rPr>
          <w:sz w:val="26"/>
          <w:szCs w:val="26"/>
        </w:rPr>
        <w:t>.</w:t>
      </w:r>
      <w:r w:rsidR="00F55BA8" w:rsidRPr="008341E3">
        <w:rPr>
          <w:sz w:val="26"/>
          <w:szCs w:val="26"/>
          <w:bdr w:val="none" w:sz="0" w:space="0" w:color="auto" w:frame="1"/>
        </w:rPr>
        <w:t>Ц</w:t>
      </w:r>
      <w:proofErr w:type="gramEnd"/>
      <w:r w:rsidR="00F55BA8" w:rsidRPr="008341E3">
        <w:rPr>
          <w:sz w:val="26"/>
          <w:szCs w:val="26"/>
          <w:bdr w:val="none" w:sz="0" w:space="0" w:color="auto" w:frame="1"/>
        </w:rPr>
        <w:t>елью</w:t>
      </w:r>
      <w:r w:rsidR="00F55BA8" w:rsidRPr="008341E3">
        <w:rPr>
          <w:sz w:val="26"/>
          <w:szCs w:val="26"/>
        </w:rPr>
        <w:t> </w:t>
      </w:r>
      <w:r w:rsidR="00F55BA8" w:rsidRPr="008341E3">
        <w:rPr>
          <w:iCs/>
          <w:sz w:val="26"/>
          <w:szCs w:val="26"/>
          <w:bdr w:val="none" w:sz="0" w:space="0" w:color="auto" w:frame="1"/>
        </w:rPr>
        <w:t>производственного контроля</w:t>
      </w:r>
      <w:r w:rsidR="00F55BA8" w:rsidRPr="008341E3">
        <w:rPr>
          <w:sz w:val="26"/>
          <w:szCs w:val="26"/>
        </w:rPr>
        <w:t> </w:t>
      </w:r>
      <w:r w:rsidR="00F55BA8" w:rsidRPr="008341E3">
        <w:rPr>
          <w:sz w:val="26"/>
          <w:szCs w:val="26"/>
          <w:bdr w:val="none" w:sz="0" w:space="0" w:color="auto" w:frame="1"/>
        </w:rPr>
        <w:t xml:space="preserve">является обеспечение безопасности и (или) безвредности для работников вредного влияния факторов производственной среды  путём должного выполнения санитарных правил, санитарно-противоэпидемических(профилактических) мероприятий, организации и осуществления контроля за их соблюдением. </w:t>
      </w:r>
    </w:p>
    <w:p w:rsidR="00060805" w:rsidRPr="008341E3" w:rsidRDefault="00060805" w:rsidP="004A252E">
      <w:pPr>
        <w:ind w:left="-709" w:firstLine="70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Влияние вредных производственных факторов обуславливает  развитие профессиональной патологии работающего населения Да</w:t>
      </w:r>
      <w:r w:rsidR="004A252E" w:rsidRPr="008341E3">
        <w:rPr>
          <w:sz w:val="26"/>
          <w:szCs w:val="26"/>
        </w:rPr>
        <w:t xml:space="preserve">льнегорского городского округа. </w:t>
      </w:r>
    </w:p>
    <w:p w:rsidR="00DD7CDE" w:rsidRPr="008341E3" w:rsidRDefault="00DD7CDE" w:rsidP="00DD7CDE">
      <w:pPr>
        <w:ind w:left="-709" w:firstLine="567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В 2018 году зарегистрировано 9 случаев профессиональных заболеваний, показатель на 10тысяч работающих составил -4,25. В сравнении с 2014годом уровень профессиональной заболеваемости снизился   почти в 2 раза. В 2014 году в сравнении с  другими годами показатель профессиональной заболеваемости был наибольшим и составлял 7,9 на 10 тысяч работающих. С 2015 года отмечается стабильное снижение профессиональной заболеваемости. В сравнении с 2017годом, в 2018году  отмечается снижение в 1,3раза с 5,5 до 4,25 на10 тысяч работающих. </w:t>
      </w:r>
    </w:p>
    <w:p w:rsidR="00DD7CDE" w:rsidRPr="008341E3" w:rsidRDefault="00DD7CDE" w:rsidP="00DD7CDE">
      <w:pPr>
        <w:ind w:left="-709" w:firstLine="567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В сравнении Приморским краем в целом за 5лет, установлено, что  уровень профессиональной заболеваемости вДальнегорском ГО регистрируется выше показателя по Приморскому краю более чем в 2 раза. Так в 2018г. при показателе ПК 1,4 на 10 тыс. работающих вДальнегорском ГО он был 4,25 превышение в 3 раза.</w:t>
      </w:r>
    </w:p>
    <w:p w:rsidR="00DD7CDE" w:rsidRPr="00DD7CDE" w:rsidRDefault="00DD7CDE" w:rsidP="00DD7CDE">
      <w:pPr>
        <w:pStyle w:val="30"/>
        <w:ind w:left="-709" w:firstLine="567"/>
        <w:jc w:val="right"/>
        <w:rPr>
          <w:szCs w:val="24"/>
        </w:rPr>
      </w:pPr>
      <w:r w:rsidRPr="00DD7CDE">
        <w:rPr>
          <w:szCs w:val="24"/>
        </w:rPr>
        <w:t xml:space="preserve">таблица 3 </w:t>
      </w:r>
    </w:p>
    <w:p w:rsidR="00DD7CDE" w:rsidRPr="00DD7CDE" w:rsidRDefault="00DD7CDE" w:rsidP="00DD7CDE">
      <w:pPr>
        <w:pStyle w:val="30"/>
        <w:ind w:left="-709" w:firstLine="567"/>
        <w:jc w:val="center"/>
        <w:rPr>
          <w:szCs w:val="24"/>
        </w:rPr>
      </w:pPr>
      <w:r w:rsidRPr="00DD7CDE">
        <w:rPr>
          <w:szCs w:val="24"/>
        </w:rPr>
        <w:t>Показатель профессиональной заболеваемости за 2014-2018гг. (на 10тыс. работающего населения)</w:t>
      </w:r>
    </w:p>
    <w:p w:rsidR="00DD7CDE" w:rsidRPr="00031D2B" w:rsidRDefault="00DD7CDE" w:rsidP="00DD7CDE">
      <w:pPr>
        <w:pStyle w:val="30"/>
        <w:ind w:left="-709" w:firstLine="567"/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52"/>
        <w:gridCol w:w="2524"/>
        <w:gridCol w:w="1757"/>
        <w:gridCol w:w="1665"/>
      </w:tblGrid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pStyle w:val="1"/>
              <w:ind w:left="-709" w:firstLine="567"/>
              <w:rPr>
                <w:b/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Число случаев проф</w:t>
            </w:r>
            <w:proofErr w:type="gramStart"/>
            <w:r w:rsidRPr="00031D2B">
              <w:rPr>
                <w:sz w:val="22"/>
                <w:szCs w:val="22"/>
              </w:rPr>
              <w:t>.з</w:t>
            </w:r>
            <w:proofErr w:type="gramEnd"/>
            <w:r w:rsidRPr="00031D2B">
              <w:rPr>
                <w:sz w:val="22"/>
                <w:szCs w:val="22"/>
              </w:rPr>
              <w:t>аболеваний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 xml:space="preserve">Число случаев </w:t>
            </w:r>
          </w:p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 xml:space="preserve">проф. заболеваний </w:t>
            </w:r>
          </w:p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на 10000 работающих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Показатель проф</w:t>
            </w:r>
            <w:proofErr w:type="gramStart"/>
            <w:r w:rsidRPr="00031D2B">
              <w:rPr>
                <w:sz w:val="22"/>
                <w:szCs w:val="22"/>
              </w:rPr>
              <w:t>.з</w:t>
            </w:r>
            <w:proofErr w:type="gramEnd"/>
            <w:r w:rsidRPr="00031D2B">
              <w:rPr>
                <w:sz w:val="22"/>
                <w:szCs w:val="22"/>
              </w:rPr>
              <w:t>аболеваемости по ПК на 10000 работающих</w:t>
            </w:r>
          </w:p>
        </w:tc>
      </w:tr>
      <w:tr w:rsidR="00DD7CDE" w:rsidRPr="00031D2B" w:rsidTr="00176970">
        <w:trPr>
          <w:trHeight w:val="21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pStyle w:val="1"/>
              <w:ind w:left="-709" w:firstLine="567"/>
              <w:rPr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both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Кратность превышения</w:t>
            </w:r>
          </w:p>
        </w:tc>
      </w:tr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2,5 раза</w:t>
            </w:r>
          </w:p>
        </w:tc>
      </w:tr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2,4 раза</w:t>
            </w:r>
          </w:p>
        </w:tc>
      </w:tr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2,9 раза</w:t>
            </w:r>
          </w:p>
        </w:tc>
      </w:tr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3,9 раза</w:t>
            </w:r>
          </w:p>
        </w:tc>
      </w:tr>
      <w:tr w:rsidR="00DD7CDE" w:rsidRPr="00031D2B" w:rsidTr="001769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DD7CDE">
            <w:pPr>
              <w:ind w:left="-709" w:firstLine="567"/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3,0 раза</w:t>
            </w:r>
          </w:p>
        </w:tc>
      </w:tr>
    </w:tbl>
    <w:p w:rsidR="00DD7CDE" w:rsidRPr="00031D2B" w:rsidRDefault="00DD7CDE" w:rsidP="00DD7CDE">
      <w:pPr>
        <w:ind w:left="-709" w:firstLine="567"/>
        <w:jc w:val="both"/>
      </w:pPr>
    </w:p>
    <w:p w:rsidR="00DD7CDE" w:rsidRPr="00031D2B" w:rsidRDefault="00DD7CDE" w:rsidP="00DD7CDE">
      <w:pPr>
        <w:ind w:firstLine="708"/>
        <w:jc w:val="both"/>
      </w:pPr>
    </w:p>
    <w:p w:rsidR="00DD7CDE" w:rsidRPr="00031D2B" w:rsidRDefault="00DD7CDE" w:rsidP="00DD7CDE">
      <w:pPr>
        <w:jc w:val="both"/>
      </w:pPr>
      <w:r w:rsidRPr="00031D2B">
        <w:rPr>
          <w:noProof/>
        </w:rPr>
        <w:drawing>
          <wp:inline distT="0" distB="0" distL="0" distR="0">
            <wp:extent cx="5953125" cy="2486025"/>
            <wp:effectExtent l="0" t="0" r="0" b="0"/>
            <wp:docPr id="2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7CDE" w:rsidRPr="00031D2B" w:rsidRDefault="00DD7CDE" w:rsidP="00DD7CDE">
      <w:pPr>
        <w:pStyle w:val="30"/>
        <w:jc w:val="center"/>
        <w:rPr>
          <w:szCs w:val="24"/>
        </w:rPr>
      </w:pPr>
      <w:r>
        <w:rPr>
          <w:szCs w:val="24"/>
        </w:rPr>
        <w:t>рис.2</w:t>
      </w:r>
      <w:r w:rsidRPr="00031D2B">
        <w:rPr>
          <w:szCs w:val="24"/>
        </w:rPr>
        <w:t xml:space="preserve">  Динамика  профессиональной заболеваемости за период 2014-2018г.г.</w:t>
      </w:r>
    </w:p>
    <w:p w:rsidR="00DD7CDE" w:rsidRDefault="00DD7CDE" w:rsidP="00DD7CD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DA1C98" w:rsidRPr="008341E3" w:rsidRDefault="00DD7CDE" w:rsidP="00DD7CDE">
      <w:pPr>
        <w:pStyle w:val="20"/>
        <w:spacing w:after="0" w:line="240" w:lineRule="auto"/>
        <w:ind w:firstLine="709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На протяжении 5 лет существенно не меняется  перечень предприятий, где регистрируются случаи профессиональных заболеваний.</w:t>
      </w:r>
    </w:p>
    <w:p w:rsidR="00DD7CDE" w:rsidRDefault="00DA1C98" w:rsidP="00DA1C98">
      <w:pPr>
        <w:pStyle w:val="20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DA1C98" w:rsidRPr="00DA1C98" w:rsidRDefault="00DA1C98" w:rsidP="00DA1C98">
      <w:pPr>
        <w:pStyle w:val="20"/>
        <w:spacing w:after="0" w:line="240" w:lineRule="auto"/>
        <w:ind w:firstLine="709"/>
        <w:jc w:val="center"/>
        <w:rPr>
          <w:sz w:val="24"/>
          <w:szCs w:val="24"/>
        </w:rPr>
      </w:pPr>
      <w:r w:rsidRPr="00DA1C98">
        <w:rPr>
          <w:bCs/>
          <w:sz w:val="24"/>
          <w:szCs w:val="24"/>
        </w:rPr>
        <w:t>Распределение случаев профессиональных заболеваний</w:t>
      </w:r>
      <w:r w:rsidRPr="00DA1C98">
        <w:rPr>
          <w:bCs/>
          <w:sz w:val="24"/>
          <w:szCs w:val="24"/>
        </w:rPr>
        <w:br/>
        <w:t xml:space="preserve"> по предприятиям Дальнегорского городского округа</w:t>
      </w:r>
      <w:r w:rsidRPr="00DA1C98">
        <w:rPr>
          <w:bCs/>
          <w:sz w:val="24"/>
          <w:szCs w:val="24"/>
        </w:rPr>
        <w:br/>
        <w:t>за 2014-2018гг.</w:t>
      </w:r>
    </w:p>
    <w:tbl>
      <w:tblPr>
        <w:tblStyle w:val="a3"/>
        <w:tblW w:w="9592" w:type="dxa"/>
        <w:tblLook w:val="04A0"/>
      </w:tblPr>
      <w:tblGrid>
        <w:gridCol w:w="2607"/>
        <w:gridCol w:w="640"/>
        <w:gridCol w:w="838"/>
        <w:gridCol w:w="640"/>
        <w:gridCol w:w="838"/>
        <w:gridCol w:w="640"/>
        <w:gridCol w:w="838"/>
        <w:gridCol w:w="640"/>
        <w:gridCol w:w="838"/>
        <w:gridCol w:w="640"/>
        <w:gridCol w:w="838"/>
      </w:tblGrid>
      <w:tr w:rsidR="00DA1C98" w:rsidTr="00DA1C98">
        <w:tc>
          <w:tcPr>
            <w:tcW w:w="1526" w:type="dxa"/>
            <w:vMerge w:val="restart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13" w:type="dxa"/>
            <w:gridSpan w:val="2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13" w:type="dxa"/>
            <w:gridSpan w:val="2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13" w:type="dxa"/>
            <w:gridSpan w:val="2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14" w:type="dxa"/>
            <w:gridSpan w:val="2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A1C98" w:rsidTr="00DA1C98">
        <w:tc>
          <w:tcPr>
            <w:tcW w:w="1526" w:type="dxa"/>
            <w:vMerge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DA1C98" w:rsidRPr="00DA1C98" w:rsidRDefault="00DA1C98" w:rsidP="00DD7CDE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Абс.</w:t>
            </w:r>
          </w:p>
        </w:tc>
        <w:tc>
          <w:tcPr>
            <w:tcW w:w="807" w:type="dxa"/>
          </w:tcPr>
          <w:p w:rsidR="00DA1C98" w:rsidRPr="00DA1C98" w:rsidRDefault="00DA1C98" w:rsidP="00DD7CDE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Уд</w:t>
            </w:r>
            <w:proofErr w:type="gramStart"/>
            <w:r w:rsidRPr="00DA1C98">
              <w:rPr>
                <w:sz w:val="22"/>
                <w:szCs w:val="22"/>
              </w:rPr>
              <w:t>.в</w:t>
            </w:r>
            <w:proofErr w:type="gramEnd"/>
            <w:r w:rsidRPr="00DA1C98">
              <w:rPr>
                <w:sz w:val="22"/>
                <w:szCs w:val="22"/>
              </w:rPr>
              <w:t>ес %</w:t>
            </w:r>
          </w:p>
        </w:tc>
        <w:tc>
          <w:tcPr>
            <w:tcW w:w="806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Абс.</w:t>
            </w:r>
          </w:p>
        </w:tc>
        <w:tc>
          <w:tcPr>
            <w:tcW w:w="807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Уд</w:t>
            </w:r>
            <w:proofErr w:type="gramStart"/>
            <w:r w:rsidRPr="00DA1C98">
              <w:rPr>
                <w:sz w:val="22"/>
                <w:szCs w:val="22"/>
              </w:rPr>
              <w:t>.в</w:t>
            </w:r>
            <w:proofErr w:type="gramEnd"/>
            <w:r w:rsidRPr="00DA1C98">
              <w:rPr>
                <w:sz w:val="22"/>
                <w:szCs w:val="22"/>
              </w:rPr>
              <w:t>ес %</w:t>
            </w:r>
          </w:p>
        </w:tc>
        <w:tc>
          <w:tcPr>
            <w:tcW w:w="807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Абс.</w:t>
            </w:r>
          </w:p>
        </w:tc>
        <w:tc>
          <w:tcPr>
            <w:tcW w:w="806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Уд</w:t>
            </w:r>
            <w:proofErr w:type="gramStart"/>
            <w:r w:rsidRPr="00DA1C98">
              <w:rPr>
                <w:sz w:val="22"/>
                <w:szCs w:val="22"/>
              </w:rPr>
              <w:t>.в</w:t>
            </w:r>
            <w:proofErr w:type="gramEnd"/>
            <w:r w:rsidRPr="00DA1C98">
              <w:rPr>
                <w:sz w:val="22"/>
                <w:szCs w:val="22"/>
              </w:rPr>
              <w:t>ес %</w:t>
            </w:r>
          </w:p>
        </w:tc>
        <w:tc>
          <w:tcPr>
            <w:tcW w:w="807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Абс.</w:t>
            </w:r>
          </w:p>
        </w:tc>
        <w:tc>
          <w:tcPr>
            <w:tcW w:w="806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Уд</w:t>
            </w:r>
            <w:proofErr w:type="gramStart"/>
            <w:r w:rsidRPr="00DA1C98">
              <w:rPr>
                <w:sz w:val="22"/>
                <w:szCs w:val="22"/>
              </w:rPr>
              <w:t>.в</w:t>
            </w:r>
            <w:proofErr w:type="gramEnd"/>
            <w:r w:rsidRPr="00DA1C98">
              <w:rPr>
                <w:sz w:val="22"/>
                <w:szCs w:val="22"/>
              </w:rPr>
              <w:t>ес %</w:t>
            </w:r>
          </w:p>
        </w:tc>
        <w:tc>
          <w:tcPr>
            <w:tcW w:w="807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Абс.</w:t>
            </w:r>
          </w:p>
        </w:tc>
        <w:tc>
          <w:tcPr>
            <w:tcW w:w="807" w:type="dxa"/>
          </w:tcPr>
          <w:p w:rsidR="00DA1C98" w:rsidRPr="00DA1C98" w:rsidRDefault="00DA1C98" w:rsidP="00176970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Уд</w:t>
            </w:r>
            <w:proofErr w:type="gramStart"/>
            <w:r w:rsidRPr="00DA1C98">
              <w:rPr>
                <w:sz w:val="22"/>
                <w:szCs w:val="22"/>
              </w:rPr>
              <w:t>.в</w:t>
            </w:r>
            <w:proofErr w:type="gramEnd"/>
            <w:r w:rsidRPr="00DA1C98">
              <w:rPr>
                <w:sz w:val="22"/>
                <w:szCs w:val="22"/>
              </w:rPr>
              <w:t>ес %</w:t>
            </w:r>
          </w:p>
        </w:tc>
      </w:tr>
      <w:tr w:rsidR="00DA1C98" w:rsidTr="00DA1C98">
        <w:tc>
          <w:tcPr>
            <w:tcW w:w="1526" w:type="dxa"/>
          </w:tcPr>
          <w:p w:rsidR="00DA1C98" w:rsidRPr="00DA1C98" w:rsidRDefault="00DA1C98" w:rsidP="00DD7CDE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АО «ГМК Дальполиметалл»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DA1C98" w:rsidTr="00DA1C98">
        <w:tc>
          <w:tcPr>
            <w:tcW w:w="1526" w:type="dxa"/>
          </w:tcPr>
          <w:p w:rsidR="00DA1C98" w:rsidRPr="00DA1C98" w:rsidRDefault="00DA1C98" w:rsidP="00DD7CDE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АО «ДХК Бор»</w:t>
            </w:r>
            <w:r>
              <w:rPr>
                <w:sz w:val="22"/>
                <w:szCs w:val="22"/>
              </w:rPr>
              <w:t xml:space="preserve"> (</w:t>
            </w:r>
            <w:r w:rsidRPr="00DA1C98">
              <w:rPr>
                <w:sz w:val="22"/>
                <w:szCs w:val="22"/>
              </w:rPr>
              <w:t>в.т.ч. ЗАО «ГХК Бор»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DA1C98" w:rsidTr="00DA1C98">
        <w:tc>
          <w:tcPr>
            <w:tcW w:w="1526" w:type="dxa"/>
          </w:tcPr>
          <w:p w:rsidR="00DA1C98" w:rsidRPr="00DA1C98" w:rsidRDefault="00DA1C98" w:rsidP="00DA1C98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Прочие (филиал Дальнегорский КГУП Примтеплоэнерго, ООО «Чугуевский ЛЗК», ООО «</w:t>
            </w:r>
            <w:proofErr w:type="spellStart"/>
            <w:r w:rsidRPr="00DA1C98">
              <w:rPr>
                <w:sz w:val="22"/>
                <w:szCs w:val="22"/>
              </w:rPr>
              <w:t>Мако</w:t>
            </w:r>
            <w:proofErr w:type="spellEnd"/>
            <w:r w:rsidRPr="00DA1C98">
              <w:rPr>
                <w:sz w:val="22"/>
                <w:szCs w:val="22"/>
              </w:rPr>
              <w:t xml:space="preserve">»,  КГКУ 9-ый отряд </w:t>
            </w:r>
            <w:proofErr w:type="spellStart"/>
            <w:r w:rsidRPr="00DA1C98">
              <w:rPr>
                <w:sz w:val="22"/>
                <w:szCs w:val="22"/>
              </w:rPr>
              <w:t>противопожарнойсужбы</w:t>
            </w:r>
            <w:proofErr w:type="spellEnd"/>
            <w:r w:rsidRPr="00DA1C98">
              <w:rPr>
                <w:sz w:val="22"/>
                <w:szCs w:val="22"/>
              </w:rPr>
              <w:t>)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06" w:type="dxa"/>
          </w:tcPr>
          <w:p w:rsidR="00DA1C98" w:rsidRDefault="00DA1C98" w:rsidP="00DA1C9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C98" w:rsidTr="00DA1C98">
        <w:tc>
          <w:tcPr>
            <w:tcW w:w="1526" w:type="dxa"/>
          </w:tcPr>
          <w:p w:rsidR="00DA1C98" w:rsidRPr="00DA1C98" w:rsidRDefault="00DA1C98" w:rsidP="00DD7CDE">
            <w:pPr>
              <w:pStyle w:val="20"/>
              <w:spacing w:after="0" w:line="240" w:lineRule="auto"/>
              <w:jc w:val="both"/>
              <w:rPr>
                <w:sz w:val="22"/>
                <w:szCs w:val="22"/>
              </w:rPr>
            </w:pPr>
            <w:r w:rsidRPr="00DA1C98">
              <w:rPr>
                <w:sz w:val="22"/>
                <w:szCs w:val="22"/>
              </w:rPr>
              <w:t>всего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6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DA1C98" w:rsidRDefault="00DA1C98" w:rsidP="00DD7CD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D7CDE" w:rsidRDefault="00DD7CDE" w:rsidP="00DA1C98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D7CDE" w:rsidRPr="008341E3" w:rsidRDefault="00DD7CDE" w:rsidP="008341E3">
      <w:pPr>
        <w:pStyle w:val="20"/>
        <w:spacing w:after="0" w:line="240" w:lineRule="auto"/>
        <w:ind w:left="-284" w:firstLine="56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Наибольшее число случаев хронических профессиональных заболеваний традиционно регистрируется в  АО «ГМК «Дальполиметалл» </w:t>
      </w:r>
      <w:proofErr w:type="gramStart"/>
      <w:r w:rsidRPr="008341E3">
        <w:rPr>
          <w:sz w:val="26"/>
          <w:szCs w:val="26"/>
        </w:rPr>
        <w:t>и ООО</w:t>
      </w:r>
      <w:proofErr w:type="gramEnd"/>
      <w:r w:rsidRPr="008341E3">
        <w:rPr>
          <w:sz w:val="26"/>
          <w:szCs w:val="26"/>
        </w:rPr>
        <w:t xml:space="preserve"> «ДХК Бор». Удельный вес хронических профессиональных заболеваний, зарегистрированных в АО «ГМК «Дальполиметалл» в общей структуре по ДГО в 2018г. составил 44,4% или 4 случая</w:t>
      </w:r>
      <w:r w:rsidR="008341E3" w:rsidRPr="008341E3">
        <w:rPr>
          <w:sz w:val="26"/>
          <w:szCs w:val="26"/>
        </w:rPr>
        <w:t>.</w:t>
      </w:r>
      <w:r w:rsidRPr="008341E3">
        <w:rPr>
          <w:sz w:val="26"/>
          <w:szCs w:val="26"/>
        </w:rPr>
        <w:t xml:space="preserve"> Но в 2018г. первое ранговое  место  по профессиональной заболеваемости занимает О</w:t>
      </w:r>
      <w:r w:rsidR="008341E3" w:rsidRPr="008341E3">
        <w:rPr>
          <w:sz w:val="26"/>
          <w:szCs w:val="26"/>
        </w:rPr>
        <w:t xml:space="preserve">ОО «ДХК Бор» -5 случаев – 55,6%. Профзаболеваний на прочих предприятиях в </w:t>
      </w:r>
      <w:proofErr w:type="gramStart"/>
      <w:r w:rsidR="008341E3" w:rsidRPr="008341E3">
        <w:rPr>
          <w:sz w:val="26"/>
          <w:szCs w:val="26"/>
        </w:rPr>
        <w:t>2018</w:t>
      </w:r>
      <w:proofErr w:type="gramEnd"/>
      <w:r w:rsidR="008341E3" w:rsidRPr="008341E3">
        <w:rPr>
          <w:sz w:val="26"/>
          <w:szCs w:val="26"/>
        </w:rPr>
        <w:t xml:space="preserve"> как и в 2017 году  не зарегистрировано. </w:t>
      </w:r>
    </w:p>
    <w:p w:rsidR="00DD7CDE" w:rsidRPr="008341E3" w:rsidRDefault="00DD7CDE" w:rsidP="008341E3">
      <w:pPr>
        <w:ind w:left="-284" w:firstLine="56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По профессиональным группам, где зарегистрированы профзаболевания в 2018 году, в отличие от 2017г.  ведущее место вновь занимают работники,  связанные с управлением транспортными средствами (водители автомобилей, машинисты экскаваторов 55,6% (5 человек), а профессии горно-добывающей группы (</w:t>
      </w:r>
      <w:proofErr w:type="gramStart"/>
      <w:r w:rsidRPr="008341E3">
        <w:rPr>
          <w:sz w:val="26"/>
          <w:szCs w:val="26"/>
        </w:rPr>
        <w:t>п</w:t>
      </w:r>
      <w:proofErr w:type="gramEnd"/>
      <w:r w:rsidRPr="008341E3">
        <w:rPr>
          <w:sz w:val="26"/>
          <w:szCs w:val="26"/>
        </w:rPr>
        <w:t>/з проходчик, машинист буровой установки, п/з крепильщик) на втором месте – 44,4%</w:t>
      </w:r>
    </w:p>
    <w:p w:rsidR="00DD7CDE" w:rsidRPr="00031D2B" w:rsidRDefault="00DD7CDE" w:rsidP="00DD7CDE">
      <w:pPr>
        <w:jc w:val="both"/>
      </w:pPr>
    </w:p>
    <w:p w:rsidR="00DD7CDE" w:rsidRPr="00031D2B" w:rsidRDefault="00DD7CDE" w:rsidP="00DD7CDE">
      <w:pPr>
        <w:ind w:firstLine="720"/>
        <w:jc w:val="center"/>
      </w:pPr>
      <w:r w:rsidRPr="00031D2B">
        <w:rPr>
          <w:noProof/>
        </w:rPr>
        <w:lastRenderedPageBreak/>
        <w:drawing>
          <wp:inline distT="0" distB="0" distL="0" distR="0">
            <wp:extent cx="5486400" cy="1771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7CDE" w:rsidRPr="00031D2B" w:rsidRDefault="00DD7CDE" w:rsidP="00DD7CDE">
      <w:pPr>
        <w:ind w:firstLine="720"/>
        <w:jc w:val="center"/>
      </w:pPr>
      <w:r w:rsidRPr="00031D2B">
        <w:t xml:space="preserve">рис. </w:t>
      </w:r>
      <w:r w:rsidR="008341E3">
        <w:t>3</w:t>
      </w:r>
      <w:r w:rsidRPr="00031D2B">
        <w:t xml:space="preserve"> Динамика регистрации профессиональных заболеваний по профессиям за 2014-2018гг</w:t>
      </w:r>
      <w:proofErr w:type="gramStart"/>
      <w:r w:rsidRPr="00031D2B">
        <w:t>. (%).</w:t>
      </w:r>
      <w:proofErr w:type="gramEnd"/>
    </w:p>
    <w:p w:rsidR="008341E3" w:rsidRDefault="008341E3" w:rsidP="008341E3">
      <w:pPr>
        <w:pStyle w:val="a7"/>
        <w:spacing w:after="0"/>
        <w:ind w:left="-284" w:firstLine="568"/>
        <w:jc w:val="both"/>
        <w:rPr>
          <w:sz w:val="26"/>
          <w:szCs w:val="26"/>
        </w:rPr>
      </w:pPr>
    </w:p>
    <w:p w:rsidR="00DD7CDE" w:rsidRPr="008341E3" w:rsidRDefault="00DD7CDE" w:rsidP="008341E3">
      <w:pPr>
        <w:pStyle w:val="a7"/>
        <w:spacing w:after="0"/>
        <w:ind w:left="-284" w:firstLine="56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>Причинами возникновения хронических профзаболеваний на протяжении последних лет  в основном послужили: конструктивные недостатки технологического оборудования, несовершенство технологических процессов и несовершенство рабочих мест.</w:t>
      </w:r>
    </w:p>
    <w:p w:rsidR="00DD7CDE" w:rsidRPr="008341E3" w:rsidRDefault="00DD7CDE" w:rsidP="008341E3">
      <w:pPr>
        <w:pStyle w:val="a7"/>
        <w:spacing w:after="0"/>
        <w:ind w:left="-284" w:firstLine="56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При анализе профессиональной заболеваемости с учетом стажа работы выявлено, что профзаболевания встречаются преимущественно при стаже работы 16-20 лет и свыше 20 лет.  </w:t>
      </w:r>
    </w:p>
    <w:p w:rsidR="00DD7CDE" w:rsidRPr="008341E3" w:rsidRDefault="00DD7CDE" w:rsidP="008341E3">
      <w:pPr>
        <w:pStyle w:val="a7"/>
        <w:spacing w:after="0"/>
        <w:ind w:left="-284" w:firstLine="568"/>
        <w:jc w:val="both"/>
        <w:rPr>
          <w:sz w:val="26"/>
          <w:szCs w:val="26"/>
        </w:rPr>
      </w:pPr>
      <w:r w:rsidRPr="008341E3">
        <w:rPr>
          <w:sz w:val="26"/>
          <w:szCs w:val="26"/>
        </w:rPr>
        <w:t xml:space="preserve">При анализе возрастных категорий, где  регистрируются профессиональные </w:t>
      </w:r>
      <w:proofErr w:type="gramStart"/>
      <w:r w:rsidRPr="008341E3">
        <w:rPr>
          <w:sz w:val="26"/>
          <w:szCs w:val="26"/>
        </w:rPr>
        <w:t>заболевания</w:t>
      </w:r>
      <w:proofErr w:type="gramEnd"/>
      <w:r w:rsidRPr="008341E3">
        <w:rPr>
          <w:sz w:val="26"/>
          <w:szCs w:val="26"/>
        </w:rPr>
        <w:t xml:space="preserve"> установлено, что наибольший удельный вес профессиональной патологии наблюдается у лиц трудоспособного возраста 46 до 59 лет. В 2018 году зарегистрировано профессиональных заболеваний у лиц в возрасте 41-50 лет у 4 человек (44,4% от всех зарегистрированных профзаболеваний), 51-60 лет- 4 человека 44,4%, 60лет и старше – 1 человек (11,1%). При анализе за 5 лет видно, что наибольшее количество профбольных регистрировалось в возрасте 51-60 лет в 2015-2016гг. 70 и 76,9% соответственно, к 2018году прослеживается стабильное увеличение заболевших  возрасте 41-50лет.</w:t>
      </w:r>
    </w:p>
    <w:p w:rsidR="00DD7CDE" w:rsidRPr="00031D2B" w:rsidRDefault="00DD7CDE" w:rsidP="00DD7CDE">
      <w:pPr>
        <w:pStyle w:val="a7"/>
        <w:spacing w:after="0"/>
      </w:pPr>
    </w:p>
    <w:p w:rsidR="00DD7CDE" w:rsidRPr="00031D2B" w:rsidRDefault="00DD7CDE" w:rsidP="00DD7CDE">
      <w:pPr>
        <w:pStyle w:val="a7"/>
        <w:spacing w:after="0"/>
        <w:ind w:firstLine="709"/>
        <w:jc w:val="both"/>
      </w:pPr>
    </w:p>
    <w:p w:rsidR="00DD7CDE" w:rsidRPr="00031D2B" w:rsidRDefault="00DD7CDE" w:rsidP="00DD7CDE">
      <w:pPr>
        <w:pStyle w:val="30"/>
        <w:ind w:firstLine="708"/>
        <w:jc w:val="center"/>
        <w:rPr>
          <w:sz w:val="22"/>
          <w:szCs w:val="22"/>
        </w:rPr>
      </w:pPr>
      <w:r w:rsidRPr="00031D2B">
        <w:rPr>
          <w:noProof/>
          <w:szCs w:val="24"/>
        </w:rPr>
        <w:drawing>
          <wp:inline distT="0" distB="0" distL="0" distR="0">
            <wp:extent cx="5486400" cy="2276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41E3" w:rsidRDefault="008341E3" w:rsidP="00DD7CDE">
      <w:pPr>
        <w:pStyle w:val="30"/>
        <w:ind w:firstLine="708"/>
        <w:jc w:val="center"/>
        <w:rPr>
          <w:szCs w:val="24"/>
        </w:rPr>
      </w:pPr>
    </w:p>
    <w:p w:rsidR="00DD7CDE" w:rsidRDefault="008341E3" w:rsidP="00DD7CDE">
      <w:pPr>
        <w:pStyle w:val="30"/>
        <w:ind w:firstLine="708"/>
        <w:jc w:val="center"/>
        <w:rPr>
          <w:szCs w:val="24"/>
        </w:rPr>
      </w:pPr>
      <w:r>
        <w:rPr>
          <w:szCs w:val="24"/>
        </w:rPr>
        <w:t>рис. 4</w:t>
      </w:r>
      <w:r w:rsidR="00DD7CDE" w:rsidRPr="00031D2B">
        <w:rPr>
          <w:szCs w:val="24"/>
        </w:rPr>
        <w:t xml:space="preserve"> Динамика распределения профессиональных заболеваний по возрасту за 2014-2018гг</w:t>
      </w:r>
      <w:proofErr w:type="gramStart"/>
      <w:r w:rsidR="00DD7CDE" w:rsidRPr="00031D2B">
        <w:rPr>
          <w:szCs w:val="24"/>
        </w:rPr>
        <w:t xml:space="preserve">. (%) </w:t>
      </w:r>
      <w:proofErr w:type="gramEnd"/>
    </w:p>
    <w:p w:rsidR="008341E3" w:rsidRDefault="008341E3" w:rsidP="008341E3">
      <w:pPr>
        <w:ind w:left="-567" w:firstLine="567"/>
        <w:jc w:val="both"/>
      </w:pPr>
    </w:p>
    <w:p w:rsidR="008341E3" w:rsidRPr="001676B5" w:rsidRDefault="008341E3" w:rsidP="008341E3">
      <w:pPr>
        <w:ind w:left="-567" w:firstLine="567"/>
        <w:jc w:val="both"/>
        <w:rPr>
          <w:sz w:val="26"/>
          <w:szCs w:val="26"/>
        </w:rPr>
      </w:pPr>
      <w:r w:rsidRPr="001676B5">
        <w:rPr>
          <w:sz w:val="26"/>
          <w:szCs w:val="26"/>
        </w:rPr>
        <w:t>Лидирующее место  в структуре профессиональных заболеваний на протяжении 5  лет  занимает  вибрационная болезнь, удельный вес колеблется от 46,2% до 68,4%. В сравнении  с 2016 годом, хотя количество случаев сократилось на 1, удельный вес увеличился на 9,4%.</w:t>
      </w:r>
    </w:p>
    <w:p w:rsidR="008341E3" w:rsidRPr="001676B5" w:rsidRDefault="008341E3" w:rsidP="008341E3">
      <w:pPr>
        <w:ind w:left="-567" w:firstLine="567"/>
        <w:jc w:val="both"/>
        <w:rPr>
          <w:sz w:val="26"/>
          <w:szCs w:val="26"/>
        </w:rPr>
      </w:pPr>
      <w:r w:rsidRPr="001676B5">
        <w:rPr>
          <w:sz w:val="26"/>
          <w:szCs w:val="26"/>
        </w:rPr>
        <w:t xml:space="preserve">На втором месте в 2018г. заболевания органов слуха – 33,3%, в сравнении с 2017году рост составил 16,6%. </w:t>
      </w:r>
    </w:p>
    <w:p w:rsidR="008341E3" w:rsidRPr="001676B5" w:rsidRDefault="008341E3" w:rsidP="008341E3">
      <w:pPr>
        <w:ind w:left="-567" w:firstLine="567"/>
        <w:jc w:val="both"/>
        <w:rPr>
          <w:sz w:val="26"/>
          <w:szCs w:val="26"/>
        </w:rPr>
      </w:pPr>
      <w:r w:rsidRPr="001676B5">
        <w:rPr>
          <w:sz w:val="26"/>
          <w:szCs w:val="26"/>
        </w:rPr>
        <w:lastRenderedPageBreak/>
        <w:t xml:space="preserve"> Заболевания органов дыхательной системы – профессиональный обструктивный бронхит занимает 3 место в структуре заболеваемости – 11,1%.</w:t>
      </w:r>
    </w:p>
    <w:p w:rsidR="008341E3" w:rsidRPr="001676B5" w:rsidRDefault="008341E3" w:rsidP="008341E3">
      <w:pPr>
        <w:ind w:left="-567" w:firstLine="567"/>
        <w:jc w:val="both"/>
        <w:rPr>
          <w:sz w:val="26"/>
          <w:szCs w:val="26"/>
        </w:rPr>
      </w:pPr>
      <w:r w:rsidRPr="001676B5">
        <w:rPr>
          <w:sz w:val="26"/>
          <w:szCs w:val="26"/>
        </w:rPr>
        <w:t xml:space="preserve"> Заболевания силикозом, болезни периферической нервной системы 2018году не регистрировались.</w:t>
      </w:r>
    </w:p>
    <w:p w:rsidR="008341E3" w:rsidRPr="00031D2B" w:rsidRDefault="008341E3" w:rsidP="008341E3">
      <w:pPr>
        <w:pStyle w:val="30"/>
        <w:ind w:left="-567" w:firstLine="567"/>
        <w:rPr>
          <w:szCs w:val="24"/>
        </w:rPr>
      </w:pPr>
    </w:p>
    <w:p w:rsidR="00DD7CDE" w:rsidRPr="00031D2B" w:rsidRDefault="008341E3" w:rsidP="00DD7CDE">
      <w:pPr>
        <w:pStyle w:val="3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таблица5</w:t>
      </w:r>
    </w:p>
    <w:p w:rsidR="00DD7CDE" w:rsidRPr="00031D2B" w:rsidRDefault="00DD7CDE" w:rsidP="00DD7CDE">
      <w:pPr>
        <w:pStyle w:val="4"/>
        <w:jc w:val="center"/>
        <w:rPr>
          <w:b/>
          <w:sz w:val="22"/>
          <w:szCs w:val="22"/>
        </w:rPr>
      </w:pPr>
      <w:r w:rsidRPr="00031D2B">
        <w:rPr>
          <w:sz w:val="22"/>
          <w:szCs w:val="22"/>
        </w:rPr>
        <w:t xml:space="preserve">Распределение случаев профессиональной заболеваемости по нозологическим формам </w:t>
      </w:r>
    </w:p>
    <w:p w:rsidR="00DD7CDE" w:rsidRPr="00031D2B" w:rsidRDefault="00DD7CDE" w:rsidP="00DD7CDE">
      <w:pPr>
        <w:pStyle w:val="4"/>
        <w:jc w:val="center"/>
        <w:rPr>
          <w:b/>
          <w:sz w:val="22"/>
          <w:szCs w:val="22"/>
        </w:rPr>
      </w:pPr>
      <w:r w:rsidRPr="00031D2B">
        <w:rPr>
          <w:sz w:val="22"/>
          <w:szCs w:val="22"/>
        </w:rPr>
        <w:t>за 2014-2018г.г.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D7CDE" w:rsidRPr="00031D2B" w:rsidTr="00176970">
        <w:trPr>
          <w:cantSplit/>
          <w:trHeight w:val="2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Нозологические формы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2014г.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2015г.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2016г.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2017г.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2018г.</w:t>
            </w:r>
          </w:p>
        </w:tc>
      </w:tr>
      <w:tr w:rsidR="00DD7CDE" w:rsidRPr="00031D2B" w:rsidTr="00176970">
        <w:trPr>
          <w:cantSplit/>
          <w:trHeight w:val="2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DE" w:rsidRPr="00031D2B" w:rsidRDefault="00DD7CDE" w:rsidP="00176970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Абс.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Абс.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Абс.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Абс.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Абс.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%</w:t>
            </w:r>
          </w:p>
        </w:tc>
      </w:tr>
      <w:tr w:rsidR="00DD7CDE" w:rsidRPr="00031D2B" w:rsidTr="00176970">
        <w:trPr>
          <w:cantSplit/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Хр. пылевой бронхит / проф. обструктивный бронхит, ХОБЛ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11,1</w:t>
            </w:r>
          </w:p>
        </w:tc>
      </w:tr>
      <w:tr w:rsidR="00DD7CDE" w:rsidRPr="00031D2B" w:rsidTr="0017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Силикоз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</w:tr>
      <w:tr w:rsidR="00DD7CDE" w:rsidRPr="00031D2B" w:rsidTr="0017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Вибрационная болезнь,</w:t>
            </w:r>
          </w:p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в том числе вегетосенсорная полиневропатия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46,2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55,6</w:t>
            </w:r>
          </w:p>
        </w:tc>
      </w:tr>
      <w:tr w:rsidR="00DD7CDE" w:rsidRPr="00031D2B" w:rsidTr="0017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 xml:space="preserve">Кохлеарный неврит, 2-х </w:t>
            </w:r>
            <w:proofErr w:type="gramStart"/>
            <w:r w:rsidRPr="00031D2B">
              <w:rPr>
                <w:sz w:val="22"/>
                <w:szCs w:val="22"/>
              </w:rPr>
              <w:t>сторонняя</w:t>
            </w:r>
            <w:proofErr w:type="gramEnd"/>
            <w:r w:rsidRPr="00031D2B">
              <w:rPr>
                <w:sz w:val="22"/>
                <w:szCs w:val="22"/>
              </w:rPr>
              <w:t xml:space="preserve"> нейросенсорная  т/у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33,3</w:t>
            </w:r>
          </w:p>
        </w:tc>
      </w:tr>
      <w:tr w:rsidR="00DD7CDE" w:rsidRPr="00031D2B" w:rsidTr="00176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Болезни периферической нервной системы (</w:t>
            </w:r>
            <w:proofErr w:type="gramStart"/>
            <w:r w:rsidRPr="00031D2B">
              <w:rPr>
                <w:sz w:val="22"/>
                <w:szCs w:val="22"/>
              </w:rPr>
              <w:t>поясничный</w:t>
            </w:r>
            <w:proofErr w:type="gramEnd"/>
            <w:r w:rsidRPr="00031D2B">
              <w:rPr>
                <w:sz w:val="22"/>
                <w:szCs w:val="22"/>
              </w:rPr>
              <w:t xml:space="preserve"> мышечно-тонический с-м, хр. радикулопатия, и т.д.)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1676B5" w:rsidRDefault="00DD7CDE" w:rsidP="00176970">
            <w:pPr>
              <w:jc w:val="center"/>
              <w:rPr>
                <w:b/>
                <w:sz w:val="22"/>
                <w:szCs w:val="22"/>
              </w:rPr>
            </w:pPr>
            <w:r w:rsidRPr="001676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E" w:rsidRPr="00031D2B" w:rsidRDefault="00DD7CDE" w:rsidP="00176970">
            <w:pPr>
              <w:jc w:val="center"/>
              <w:rPr>
                <w:sz w:val="22"/>
                <w:szCs w:val="22"/>
              </w:rPr>
            </w:pPr>
            <w:r w:rsidRPr="00031D2B">
              <w:rPr>
                <w:sz w:val="22"/>
                <w:szCs w:val="22"/>
              </w:rPr>
              <w:t>-</w:t>
            </w:r>
          </w:p>
        </w:tc>
      </w:tr>
    </w:tbl>
    <w:p w:rsidR="00DD7CDE" w:rsidRPr="00031D2B" w:rsidRDefault="00DD7CDE" w:rsidP="00DD7CDE">
      <w:pPr>
        <w:rPr>
          <w:sz w:val="22"/>
          <w:szCs w:val="22"/>
        </w:rPr>
      </w:pPr>
      <w:r w:rsidRPr="00031D2B">
        <w:rPr>
          <w:b/>
          <w:noProof/>
        </w:rPr>
        <w:drawing>
          <wp:inline distT="0" distB="0" distL="0" distR="0">
            <wp:extent cx="6067425" cy="3009900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76B5" w:rsidRDefault="001676B5" w:rsidP="00DD7CDE">
      <w:pPr>
        <w:jc w:val="center"/>
        <w:rPr>
          <w:sz w:val="22"/>
          <w:szCs w:val="22"/>
        </w:rPr>
      </w:pPr>
    </w:p>
    <w:p w:rsidR="00DD7CDE" w:rsidRPr="00031D2B" w:rsidRDefault="00DD7CDE" w:rsidP="00DD7CDE">
      <w:pPr>
        <w:jc w:val="center"/>
        <w:rPr>
          <w:b/>
          <w:sz w:val="22"/>
          <w:szCs w:val="22"/>
        </w:rPr>
      </w:pPr>
      <w:r w:rsidRPr="00031D2B">
        <w:rPr>
          <w:sz w:val="22"/>
          <w:szCs w:val="22"/>
        </w:rPr>
        <w:t xml:space="preserve">рис. </w:t>
      </w:r>
      <w:r w:rsidR="008341E3">
        <w:rPr>
          <w:sz w:val="22"/>
          <w:szCs w:val="22"/>
        </w:rPr>
        <w:t>5</w:t>
      </w:r>
      <w:r w:rsidRPr="00031D2B">
        <w:rPr>
          <w:sz w:val="22"/>
          <w:szCs w:val="22"/>
        </w:rPr>
        <w:t xml:space="preserve"> Структура профессиональной заболеваемости за 2014-2018г.г.</w:t>
      </w:r>
    </w:p>
    <w:p w:rsidR="00DD7CDE" w:rsidRPr="00031D2B" w:rsidRDefault="00DD7CDE" w:rsidP="00DD7CDE">
      <w:pPr>
        <w:tabs>
          <w:tab w:val="left" w:pos="1155"/>
        </w:tabs>
        <w:ind w:firstLine="720"/>
        <w:jc w:val="both"/>
        <w:rPr>
          <w:sz w:val="22"/>
          <w:szCs w:val="22"/>
        </w:rPr>
      </w:pPr>
      <w:r w:rsidRPr="00031D2B">
        <w:rPr>
          <w:sz w:val="22"/>
          <w:szCs w:val="22"/>
        </w:rPr>
        <w:tab/>
      </w:r>
    </w:p>
    <w:p w:rsidR="00DD7CDE" w:rsidRPr="001676B5" w:rsidRDefault="00DD7CDE" w:rsidP="00DD7CDE">
      <w:pPr>
        <w:ind w:firstLine="708"/>
        <w:jc w:val="both"/>
        <w:rPr>
          <w:sz w:val="26"/>
          <w:szCs w:val="26"/>
        </w:rPr>
      </w:pPr>
      <w:proofErr w:type="gramStart"/>
      <w:r w:rsidRPr="001676B5">
        <w:rPr>
          <w:sz w:val="26"/>
          <w:szCs w:val="26"/>
        </w:rPr>
        <w:t>В целях динамического наблюдения за состоянием здоровья работников в условиях воздействия вредных и неблагоприятных факторов производственной среды, профилактики  развития и раннего выявления профессиональных  заболеваний  проводятся периодические медицинские осмотры в соответствии с Приказом МЗ и СР №302н  от 12.04.2011г. На территории Дальнегорского городского округа предварительные и периодические медицинские осмотры проводят КГБУЗ «Дальнегорская ЦГБ», Приморский краевой центр профессиональной патологии, ООО «Приморский</w:t>
      </w:r>
      <w:proofErr w:type="gramEnd"/>
      <w:r w:rsidRPr="001676B5">
        <w:rPr>
          <w:sz w:val="26"/>
          <w:szCs w:val="26"/>
        </w:rPr>
        <w:t xml:space="preserve"> центр медицинских осмотров», имеющие лицензии на данный вид деятельности. В состав комиссии, проводящей медицинские осмотры, включены все специалисты в соответствии с Приказом МЗ и </w:t>
      </w:r>
      <w:proofErr w:type="gramStart"/>
      <w:r w:rsidRPr="001676B5">
        <w:rPr>
          <w:sz w:val="26"/>
          <w:szCs w:val="26"/>
        </w:rPr>
        <w:t>СР</w:t>
      </w:r>
      <w:proofErr w:type="gramEnd"/>
      <w:r w:rsidRPr="001676B5">
        <w:rPr>
          <w:sz w:val="26"/>
          <w:szCs w:val="26"/>
        </w:rPr>
        <w:t xml:space="preserve"> №302н  от 12.04.2011г.  </w:t>
      </w:r>
    </w:p>
    <w:p w:rsidR="00DD7CDE" w:rsidRPr="00031D2B" w:rsidRDefault="008341E3" w:rsidP="00DD7CDE">
      <w:pPr>
        <w:pStyle w:val="30"/>
        <w:ind w:firstLine="708"/>
        <w:jc w:val="right"/>
        <w:rPr>
          <w:szCs w:val="24"/>
        </w:rPr>
      </w:pPr>
      <w:r>
        <w:rPr>
          <w:szCs w:val="24"/>
        </w:rPr>
        <w:t>т</w:t>
      </w:r>
      <w:r w:rsidR="00DD7CDE" w:rsidRPr="00031D2B">
        <w:rPr>
          <w:szCs w:val="24"/>
        </w:rPr>
        <w:t>аблица</w:t>
      </w:r>
      <w:r>
        <w:rPr>
          <w:szCs w:val="24"/>
        </w:rPr>
        <w:t xml:space="preserve"> 6</w:t>
      </w:r>
    </w:p>
    <w:p w:rsidR="00DD7CDE" w:rsidRPr="00031D2B" w:rsidRDefault="00DD7CDE" w:rsidP="00DD7CDE">
      <w:pPr>
        <w:ind w:left="-709" w:firstLine="709"/>
        <w:jc w:val="center"/>
        <w:rPr>
          <w:sz w:val="26"/>
          <w:szCs w:val="26"/>
        </w:rPr>
      </w:pPr>
      <w:r w:rsidRPr="00031D2B">
        <w:rPr>
          <w:sz w:val="26"/>
          <w:szCs w:val="26"/>
        </w:rPr>
        <w:t>Распределение выявленных профзаболеваний в результате ПМО за 2014-2018гг.</w:t>
      </w:r>
    </w:p>
    <w:p w:rsidR="00DD7CDE" w:rsidRPr="00031D2B" w:rsidRDefault="00DD7CDE" w:rsidP="00DD7CDE">
      <w:pPr>
        <w:ind w:firstLine="709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602"/>
        <w:gridCol w:w="2603"/>
      </w:tblGrid>
      <w:tr w:rsidR="00DD7CDE" w:rsidRPr="00031D2B" w:rsidTr="00176970">
        <w:trPr>
          <w:trHeight w:val="285"/>
        </w:trPr>
        <w:tc>
          <w:tcPr>
            <w:tcW w:w="2002" w:type="dxa"/>
            <w:vMerge w:val="restart"/>
          </w:tcPr>
          <w:p w:rsidR="00DD7CDE" w:rsidRPr="00031D2B" w:rsidRDefault="00DD7CDE" w:rsidP="00176970">
            <w:pPr>
              <w:jc w:val="center"/>
            </w:pPr>
            <w:r w:rsidRPr="00031D2B">
              <w:lastRenderedPageBreak/>
              <w:t>год</w:t>
            </w:r>
          </w:p>
        </w:tc>
        <w:tc>
          <w:tcPr>
            <w:tcW w:w="5205" w:type="dxa"/>
            <w:gridSpan w:val="2"/>
          </w:tcPr>
          <w:p w:rsidR="00DD7CDE" w:rsidRPr="00031D2B" w:rsidRDefault="00DD7CDE" w:rsidP="00176970">
            <w:pPr>
              <w:jc w:val="center"/>
            </w:pPr>
            <w:r w:rsidRPr="00031D2B">
              <w:t>Выявлено профзаболеваний в результате ПМО</w:t>
            </w:r>
          </w:p>
        </w:tc>
      </w:tr>
      <w:tr w:rsidR="00DD7CDE" w:rsidRPr="00031D2B" w:rsidTr="00176970">
        <w:trPr>
          <w:trHeight w:val="255"/>
        </w:trPr>
        <w:tc>
          <w:tcPr>
            <w:tcW w:w="2002" w:type="dxa"/>
            <w:vMerge/>
          </w:tcPr>
          <w:p w:rsidR="00DD7CDE" w:rsidRPr="00031D2B" w:rsidRDefault="00DD7CDE" w:rsidP="00176970">
            <w:pPr>
              <w:jc w:val="center"/>
            </w:pP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Абс. число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Удельный вес %</w:t>
            </w:r>
          </w:p>
        </w:tc>
      </w:tr>
      <w:tr w:rsidR="00DD7CDE" w:rsidRPr="00031D2B" w:rsidTr="00176970">
        <w:tc>
          <w:tcPr>
            <w:tcW w:w="2002" w:type="dxa"/>
          </w:tcPr>
          <w:p w:rsidR="00DD7CDE" w:rsidRPr="00031D2B" w:rsidRDefault="00DD7CDE" w:rsidP="00176970">
            <w:pPr>
              <w:jc w:val="center"/>
            </w:pPr>
            <w:r w:rsidRPr="00031D2B">
              <w:t>2014</w:t>
            </w: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12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63,2</w:t>
            </w:r>
          </w:p>
        </w:tc>
      </w:tr>
      <w:tr w:rsidR="00DD7CDE" w:rsidRPr="00031D2B" w:rsidTr="00176970">
        <w:tc>
          <w:tcPr>
            <w:tcW w:w="2002" w:type="dxa"/>
          </w:tcPr>
          <w:p w:rsidR="00DD7CDE" w:rsidRPr="00031D2B" w:rsidRDefault="00DD7CDE" w:rsidP="00176970">
            <w:pPr>
              <w:jc w:val="center"/>
            </w:pPr>
            <w:r w:rsidRPr="00031D2B">
              <w:t>2015</w:t>
            </w: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6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60,0</w:t>
            </w:r>
          </w:p>
        </w:tc>
      </w:tr>
      <w:tr w:rsidR="00DD7CDE" w:rsidRPr="00031D2B" w:rsidTr="00176970">
        <w:tc>
          <w:tcPr>
            <w:tcW w:w="2002" w:type="dxa"/>
          </w:tcPr>
          <w:p w:rsidR="00DD7CDE" w:rsidRPr="00031D2B" w:rsidRDefault="00DD7CDE" w:rsidP="00176970">
            <w:pPr>
              <w:jc w:val="center"/>
            </w:pPr>
            <w:r w:rsidRPr="00031D2B">
              <w:t>2016</w:t>
            </w: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12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92,3</w:t>
            </w:r>
          </w:p>
        </w:tc>
      </w:tr>
      <w:tr w:rsidR="00DD7CDE" w:rsidRPr="00031D2B" w:rsidTr="00176970">
        <w:tc>
          <w:tcPr>
            <w:tcW w:w="2002" w:type="dxa"/>
          </w:tcPr>
          <w:p w:rsidR="00DD7CDE" w:rsidRPr="00031D2B" w:rsidRDefault="00DD7CDE" w:rsidP="00176970">
            <w:pPr>
              <w:jc w:val="center"/>
            </w:pPr>
            <w:r w:rsidRPr="00031D2B">
              <w:t>2017</w:t>
            </w: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11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91,7</w:t>
            </w:r>
          </w:p>
        </w:tc>
      </w:tr>
      <w:tr w:rsidR="00DD7CDE" w:rsidRPr="00031D2B" w:rsidTr="00176970">
        <w:tc>
          <w:tcPr>
            <w:tcW w:w="2002" w:type="dxa"/>
          </w:tcPr>
          <w:p w:rsidR="00DD7CDE" w:rsidRPr="00031D2B" w:rsidRDefault="00DD7CDE" w:rsidP="00176970">
            <w:pPr>
              <w:jc w:val="center"/>
            </w:pPr>
            <w:r w:rsidRPr="00031D2B">
              <w:t>2018</w:t>
            </w:r>
          </w:p>
        </w:tc>
        <w:tc>
          <w:tcPr>
            <w:tcW w:w="2602" w:type="dxa"/>
          </w:tcPr>
          <w:p w:rsidR="00DD7CDE" w:rsidRPr="00031D2B" w:rsidRDefault="00DD7CDE" w:rsidP="00176970">
            <w:pPr>
              <w:jc w:val="center"/>
            </w:pPr>
            <w:r w:rsidRPr="00031D2B">
              <w:t>9</w:t>
            </w:r>
          </w:p>
        </w:tc>
        <w:tc>
          <w:tcPr>
            <w:tcW w:w="2603" w:type="dxa"/>
          </w:tcPr>
          <w:p w:rsidR="00DD7CDE" w:rsidRPr="00031D2B" w:rsidRDefault="00DD7CDE" w:rsidP="00176970">
            <w:pPr>
              <w:jc w:val="center"/>
            </w:pPr>
            <w:r w:rsidRPr="00031D2B">
              <w:t>100</w:t>
            </w:r>
          </w:p>
        </w:tc>
      </w:tr>
    </w:tbl>
    <w:p w:rsidR="00DD7CDE" w:rsidRPr="00031D2B" w:rsidRDefault="00DD7CDE" w:rsidP="00DD7CDE">
      <w:pPr>
        <w:ind w:firstLine="708"/>
        <w:jc w:val="both"/>
      </w:pPr>
    </w:p>
    <w:p w:rsidR="00DD7CDE" w:rsidRPr="001676B5" w:rsidRDefault="00DD7CDE" w:rsidP="001676B5">
      <w:pPr>
        <w:ind w:left="-567" w:firstLine="708"/>
        <w:jc w:val="both"/>
        <w:rPr>
          <w:sz w:val="26"/>
          <w:szCs w:val="26"/>
        </w:rPr>
      </w:pPr>
      <w:r w:rsidRPr="001676B5">
        <w:rPr>
          <w:sz w:val="26"/>
          <w:szCs w:val="26"/>
        </w:rPr>
        <w:t>В 2018 году число профзаболеваний выявленных в результате медосмотров составило 100</w:t>
      </w:r>
      <w:proofErr w:type="gramStart"/>
      <w:r w:rsidRPr="001676B5">
        <w:rPr>
          <w:sz w:val="26"/>
          <w:szCs w:val="26"/>
        </w:rPr>
        <w:t>% Н</w:t>
      </w:r>
      <w:proofErr w:type="gramEnd"/>
      <w:r w:rsidRPr="001676B5">
        <w:rPr>
          <w:sz w:val="26"/>
          <w:szCs w:val="26"/>
        </w:rPr>
        <w:t>а протяжении последних двух лет отмечается достаточно высокий  удельный вес  профзаболеваний выявленных при ПМО (91-92%).</w:t>
      </w:r>
    </w:p>
    <w:p w:rsidR="001676B5" w:rsidRPr="001676B5" w:rsidRDefault="001676B5" w:rsidP="001676B5">
      <w:pPr>
        <w:ind w:left="-567" w:firstLine="720"/>
        <w:jc w:val="both"/>
        <w:rPr>
          <w:sz w:val="26"/>
          <w:szCs w:val="26"/>
        </w:rPr>
      </w:pP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  <w:r w:rsidRPr="00346354">
        <w:rPr>
          <w:sz w:val="26"/>
          <w:szCs w:val="26"/>
        </w:rPr>
        <w:t xml:space="preserve">В целях профилактики возникновения и своевременного предупреждения профессиональных заболеваний среди работников Дальнегорского ГО рекомендуем: </w:t>
      </w: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  <w:r w:rsidRPr="00346354">
        <w:rPr>
          <w:sz w:val="26"/>
          <w:szCs w:val="26"/>
        </w:rPr>
        <w:t>Руководителям предприятий, организаций, на которых рабочие подвергаются воздействию вредных и неблагоприятных факторов производственной среды:</w:t>
      </w: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  <w:r w:rsidRPr="00346354">
        <w:rPr>
          <w:sz w:val="26"/>
          <w:szCs w:val="26"/>
        </w:rPr>
        <w:t>- обеспечить соблюдение Закона РФ № 52-ФЗ от 30.03.1999г. «О санитарно – эпидемиологическом благополучии населения» ст. 25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Федерации;</w:t>
      </w: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  <w:r w:rsidRPr="00346354">
        <w:rPr>
          <w:sz w:val="26"/>
          <w:szCs w:val="26"/>
        </w:rPr>
        <w:t xml:space="preserve"> - обеспечить соблюдение Закона РФ № 52-ФЗ от 30.03.1999г. «О санитарно – эпидемиологическом благополучии населения» ст. 32 об организации производственного контроля, в том числе проведение лабораторных исследований и испытаний за условиями труда работников;</w:t>
      </w: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  <w:r w:rsidRPr="00346354">
        <w:rPr>
          <w:sz w:val="26"/>
          <w:szCs w:val="26"/>
        </w:rPr>
        <w:t>- обеспечить соблюдение Закона РФ № 52-ФЗ от 30.03.1999г. «О санитарно – эпидемиологическом благополучии населения» ст. 34 о проведении обязательных медицинских осмотрах.</w:t>
      </w:r>
    </w:p>
    <w:p w:rsidR="00346354" w:rsidRPr="00346354" w:rsidRDefault="00346354" w:rsidP="00346354">
      <w:pPr>
        <w:ind w:left="-567" w:firstLine="720"/>
        <w:jc w:val="both"/>
        <w:rPr>
          <w:sz w:val="26"/>
          <w:szCs w:val="26"/>
        </w:rPr>
      </w:pPr>
    </w:p>
    <w:p w:rsidR="00543DE3" w:rsidRDefault="00543DE3" w:rsidP="00543DE3">
      <w:pPr>
        <w:ind w:firstLine="720"/>
        <w:jc w:val="both"/>
      </w:pPr>
    </w:p>
    <w:p w:rsidR="00543DE3" w:rsidRPr="00543DE3" w:rsidRDefault="00543DE3" w:rsidP="00543DE3">
      <w:pPr>
        <w:ind w:firstLine="720"/>
        <w:jc w:val="both"/>
        <w:rPr>
          <w:sz w:val="26"/>
          <w:szCs w:val="26"/>
        </w:rPr>
      </w:pPr>
      <w:r w:rsidRPr="00543DE3">
        <w:rPr>
          <w:sz w:val="26"/>
          <w:szCs w:val="26"/>
        </w:rPr>
        <w:t xml:space="preserve">Начальник территориального отдела                               Т.П. Щербинина </w:t>
      </w:r>
    </w:p>
    <w:p w:rsidR="00346354" w:rsidRPr="00346354" w:rsidRDefault="00346354" w:rsidP="00346354">
      <w:pPr>
        <w:pStyle w:val="30"/>
        <w:ind w:left="-567" w:firstLine="708"/>
        <w:jc w:val="center"/>
        <w:rPr>
          <w:sz w:val="26"/>
          <w:szCs w:val="26"/>
        </w:rPr>
      </w:pPr>
    </w:p>
    <w:sectPr w:rsidR="00346354" w:rsidRPr="00346354" w:rsidSect="007314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7A6"/>
    <w:multiLevelType w:val="singleLevel"/>
    <w:tmpl w:val="32740F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11E27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CA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0837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B6F5CDC"/>
    <w:multiLevelType w:val="hybridMultilevel"/>
    <w:tmpl w:val="6E8A3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A0B09"/>
    <w:multiLevelType w:val="singleLevel"/>
    <w:tmpl w:val="F80C78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250C17"/>
    <w:multiLevelType w:val="singleLevel"/>
    <w:tmpl w:val="07EA1F1C"/>
    <w:lvl w:ilvl="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hint="default"/>
      </w:rPr>
    </w:lvl>
  </w:abstractNum>
  <w:abstractNum w:abstractNumId="7">
    <w:nsid w:val="63F50C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4E5BF8"/>
    <w:multiLevelType w:val="hybridMultilevel"/>
    <w:tmpl w:val="EB0E0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4470C"/>
    <w:multiLevelType w:val="hybridMultilevel"/>
    <w:tmpl w:val="56A2D692"/>
    <w:lvl w:ilvl="0" w:tplc="D0EED1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35F6"/>
    <w:rsid w:val="00030B9D"/>
    <w:rsid w:val="00060805"/>
    <w:rsid w:val="0007186A"/>
    <w:rsid w:val="00092449"/>
    <w:rsid w:val="000A3BCF"/>
    <w:rsid w:val="000B5CF8"/>
    <w:rsid w:val="000B7CA5"/>
    <w:rsid w:val="000C10E1"/>
    <w:rsid w:val="000C4A63"/>
    <w:rsid w:val="000F71ED"/>
    <w:rsid w:val="00103CED"/>
    <w:rsid w:val="00121EB2"/>
    <w:rsid w:val="001303BA"/>
    <w:rsid w:val="00150A1F"/>
    <w:rsid w:val="00165C54"/>
    <w:rsid w:val="001676B5"/>
    <w:rsid w:val="00170D33"/>
    <w:rsid w:val="001758DD"/>
    <w:rsid w:val="00186459"/>
    <w:rsid w:val="00192CDB"/>
    <w:rsid w:val="001B15BA"/>
    <w:rsid w:val="00202732"/>
    <w:rsid w:val="00210185"/>
    <w:rsid w:val="00220E97"/>
    <w:rsid w:val="00235997"/>
    <w:rsid w:val="00242FC6"/>
    <w:rsid w:val="002462B3"/>
    <w:rsid w:val="00252FB3"/>
    <w:rsid w:val="0027365E"/>
    <w:rsid w:val="00281EDA"/>
    <w:rsid w:val="002A1748"/>
    <w:rsid w:val="002B4135"/>
    <w:rsid w:val="002D0B3E"/>
    <w:rsid w:val="002F2025"/>
    <w:rsid w:val="00346354"/>
    <w:rsid w:val="0034712A"/>
    <w:rsid w:val="00347C70"/>
    <w:rsid w:val="00354E4C"/>
    <w:rsid w:val="003555E4"/>
    <w:rsid w:val="003870AE"/>
    <w:rsid w:val="00407952"/>
    <w:rsid w:val="00413DF8"/>
    <w:rsid w:val="004152BA"/>
    <w:rsid w:val="00426F50"/>
    <w:rsid w:val="004771C6"/>
    <w:rsid w:val="00490223"/>
    <w:rsid w:val="004A252E"/>
    <w:rsid w:val="004B0ECF"/>
    <w:rsid w:val="004C0B6A"/>
    <w:rsid w:val="004C3200"/>
    <w:rsid w:val="004C7465"/>
    <w:rsid w:val="004D05EF"/>
    <w:rsid w:val="004E0F65"/>
    <w:rsid w:val="004F0130"/>
    <w:rsid w:val="004F28EC"/>
    <w:rsid w:val="00511751"/>
    <w:rsid w:val="005131E4"/>
    <w:rsid w:val="0051465C"/>
    <w:rsid w:val="00543DE3"/>
    <w:rsid w:val="0054617F"/>
    <w:rsid w:val="00562F36"/>
    <w:rsid w:val="005931CC"/>
    <w:rsid w:val="005B0B7B"/>
    <w:rsid w:val="005B1C36"/>
    <w:rsid w:val="005C7E01"/>
    <w:rsid w:val="005E6118"/>
    <w:rsid w:val="00607A83"/>
    <w:rsid w:val="006545D9"/>
    <w:rsid w:val="00657061"/>
    <w:rsid w:val="00663B0E"/>
    <w:rsid w:val="006867E2"/>
    <w:rsid w:val="006B151C"/>
    <w:rsid w:val="006E5CBD"/>
    <w:rsid w:val="00731416"/>
    <w:rsid w:val="0074014E"/>
    <w:rsid w:val="00767D13"/>
    <w:rsid w:val="007A0923"/>
    <w:rsid w:val="007B1D80"/>
    <w:rsid w:val="007B41B3"/>
    <w:rsid w:val="007D359B"/>
    <w:rsid w:val="008341E3"/>
    <w:rsid w:val="0084223A"/>
    <w:rsid w:val="00847156"/>
    <w:rsid w:val="008D78FB"/>
    <w:rsid w:val="008F46D3"/>
    <w:rsid w:val="009070F0"/>
    <w:rsid w:val="0091096E"/>
    <w:rsid w:val="00915D20"/>
    <w:rsid w:val="00927D1A"/>
    <w:rsid w:val="00964826"/>
    <w:rsid w:val="0097762A"/>
    <w:rsid w:val="009A1F2C"/>
    <w:rsid w:val="009B443B"/>
    <w:rsid w:val="009B757D"/>
    <w:rsid w:val="009E5311"/>
    <w:rsid w:val="00A009CC"/>
    <w:rsid w:val="00A064E8"/>
    <w:rsid w:val="00A11CC3"/>
    <w:rsid w:val="00A670D6"/>
    <w:rsid w:val="00A8357D"/>
    <w:rsid w:val="00AC1198"/>
    <w:rsid w:val="00AD3484"/>
    <w:rsid w:val="00B035F6"/>
    <w:rsid w:val="00B274D0"/>
    <w:rsid w:val="00B513CF"/>
    <w:rsid w:val="00B816A9"/>
    <w:rsid w:val="00B96DA2"/>
    <w:rsid w:val="00BA08AA"/>
    <w:rsid w:val="00BA1130"/>
    <w:rsid w:val="00BE3ADA"/>
    <w:rsid w:val="00BE66DC"/>
    <w:rsid w:val="00BF611C"/>
    <w:rsid w:val="00C02E21"/>
    <w:rsid w:val="00C36D20"/>
    <w:rsid w:val="00C7171E"/>
    <w:rsid w:val="00C74496"/>
    <w:rsid w:val="00C84214"/>
    <w:rsid w:val="00C90E06"/>
    <w:rsid w:val="00C9204C"/>
    <w:rsid w:val="00CE1765"/>
    <w:rsid w:val="00CE5F36"/>
    <w:rsid w:val="00CF7D29"/>
    <w:rsid w:val="00D21563"/>
    <w:rsid w:val="00DA1C98"/>
    <w:rsid w:val="00DA2F15"/>
    <w:rsid w:val="00DA7BAC"/>
    <w:rsid w:val="00DD05EC"/>
    <w:rsid w:val="00DD6556"/>
    <w:rsid w:val="00DD7CDE"/>
    <w:rsid w:val="00DE092A"/>
    <w:rsid w:val="00E15BF9"/>
    <w:rsid w:val="00E411FD"/>
    <w:rsid w:val="00E74F4F"/>
    <w:rsid w:val="00E77ED2"/>
    <w:rsid w:val="00E96203"/>
    <w:rsid w:val="00F10AD4"/>
    <w:rsid w:val="00F42B96"/>
    <w:rsid w:val="00F44CEB"/>
    <w:rsid w:val="00F50BD6"/>
    <w:rsid w:val="00F55BA8"/>
    <w:rsid w:val="00F66075"/>
    <w:rsid w:val="00F906EE"/>
    <w:rsid w:val="00F943C2"/>
    <w:rsid w:val="00FB0D38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5F6"/>
    <w:rPr>
      <w:sz w:val="24"/>
      <w:szCs w:val="24"/>
    </w:rPr>
  </w:style>
  <w:style w:type="paragraph" w:styleId="1">
    <w:name w:val="heading 1"/>
    <w:basedOn w:val="a"/>
    <w:next w:val="a"/>
    <w:qFormat/>
    <w:rsid w:val="006545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545D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545D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545D9"/>
    <w:pPr>
      <w:keepNext/>
      <w:ind w:firstLine="1134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7A0923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BE3ADA"/>
    <w:pPr>
      <w:spacing w:after="120"/>
      <w:ind w:left="283"/>
    </w:pPr>
  </w:style>
  <w:style w:type="character" w:styleId="a5">
    <w:name w:val="Hyperlink"/>
    <w:basedOn w:val="a0"/>
    <w:rsid w:val="00BE3ADA"/>
    <w:rPr>
      <w:color w:val="0000FF"/>
      <w:u w:val="single"/>
    </w:rPr>
  </w:style>
  <w:style w:type="paragraph" w:styleId="a6">
    <w:name w:val="Normal (Web)"/>
    <w:basedOn w:val="a"/>
    <w:uiPriority w:val="99"/>
    <w:rsid w:val="00BE3ADA"/>
    <w:pPr>
      <w:spacing w:before="100" w:beforeAutospacing="1" w:after="100" w:afterAutospacing="1"/>
    </w:pPr>
  </w:style>
  <w:style w:type="paragraph" w:styleId="a7">
    <w:name w:val="Body Text"/>
    <w:basedOn w:val="a"/>
    <w:rsid w:val="00030B9D"/>
    <w:pPr>
      <w:spacing w:after="120"/>
    </w:pPr>
  </w:style>
  <w:style w:type="paragraph" w:styleId="30">
    <w:name w:val="Body Text 3"/>
    <w:basedOn w:val="a"/>
    <w:link w:val="31"/>
    <w:rsid w:val="006545D9"/>
    <w:pPr>
      <w:jc w:val="both"/>
    </w:pPr>
    <w:rPr>
      <w:szCs w:val="20"/>
    </w:rPr>
  </w:style>
  <w:style w:type="paragraph" w:styleId="22">
    <w:name w:val="Body Text Indent 2"/>
    <w:basedOn w:val="a"/>
    <w:rsid w:val="006545D9"/>
    <w:pPr>
      <w:ind w:firstLine="851"/>
      <w:jc w:val="both"/>
    </w:pPr>
    <w:rPr>
      <w:szCs w:val="20"/>
    </w:rPr>
  </w:style>
  <w:style w:type="paragraph" w:styleId="32">
    <w:name w:val="Body Text Indent 3"/>
    <w:basedOn w:val="a"/>
    <w:rsid w:val="006545D9"/>
    <w:pPr>
      <w:ind w:firstLine="1134"/>
      <w:jc w:val="both"/>
    </w:pPr>
    <w:rPr>
      <w:szCs w:val="20"/>
    </w:rPr>
  </w:style>
  <w:style w:type="paragraph" w:styleId="a8">
    <w:name w:val="header"/>
    <w:basedOn w:val="a"/>
    <w:rsid w:val="006545D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rsid w:val="006545D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6545D9"/>
  </w:style>
  <w:style w:type="character" w:styleId="ab">
    <w:name w:val="FollowedHyperlink"/>
    <w:basedOn w:val="a0"/>
    <w:rsid w:val="006545D9"/>
    <w:rPr>
      <w:color w:val="800080"/>
      <w:u w:val="single"/>
    </w:rPr>
  </w:style>
  <w:style w:type="character" w:customStyle="1" w:styleId="31">
    <w:name w:val="Основной текст 3 Знак"/>
    <w:link w:val="30"/>
    <w:rsid w:val="009E5311"/>
    <w:rPr>
      <w:sz w:val="24"/>
      <w:lang w:val="ru-RU" w:eastAsia="ru-RU" w:bidi="ar-SA"/>
    </w:rPr>
  </w:style>
  <w:style w:type="paragraph" w:styleId="ac">
    <w:name w:val="caption"/>
    <w:basedOn w:val="a"/>
    <w:next w:val="a"/>
    <w:qFormat/>
    <w:rsid w:val="00103CED"/>
    <w:rPr>
      <w:b/>
      <w:bCs/>
      <w:sz w:val="20"/>
      <w:szCs w:val="20"/>
    </w:rPr>
  </w:style>
  <w:style w:type="character" w:customStyle="1" w:styleId="21">
    <w:name w:val="Основной текст 2 Знак"/>
    <w:link w:val="20"/>
    <w:uiPriority w:val="99"/>
    <w:rsid w:val="004B0ECF"/>
  </w:style>
  <w:style w:type="paragraph" w:styleId="ad">
    <w:name w:val="Balloon Text"/>
    <w:basedOn w:val="a"/>
    <w:link w:val="ae"/>
    <w:rsid w:val="007B41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egorsk@pkrpn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http://www.gsen.ru/gerb3.gif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3"/>
      <c:hPercent val="55"/>
      <c:rotY val="315"/>
      <c:depthPercent val="2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"/>
          <c:y val="2.2035165958237537E-2"/>
          <c:w val="0.62285798406526138"/>
          <c:h val="0.848746505964732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проб выше ПДК исследованных на пары игазы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проб выше ПДК исследованных по пыли</c:v>
                </c:pt>
              </c:strCache>
            </c:strRef>
          </c:tx>
          <c:spPr>
            <a:pattFill prst="dashUpDiag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35.700000000000003</c:v>
                </c:pt>
                <c:pt idx="1">
                  <c:v>33.300000000000004</c:v>
                </c:pt>
                <c:pt idx="2">
                  <c:v>16.7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 исследованных рабочих мест не соответствующих ПДУ по шуму</c:v>
                </c:pt>
              </c:strCache>
            </c:strRef>
          </c:tx>
          <c:spPr>
            <a:pattFill prst="lgConfetti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63.3</c:v>
                </c:pt>
                <c:pt idx="1">
                  <c:v>0</c:v>
                </c:pt>
                <c:pt idx="2">
                  <c:v>63.6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% исследованных рабочих мест не соответствующих ПДУ по вибрации</c:v>
                </c:pt>
              </c:strCache>
            </c:strRef>
          </c:tx>
          <c:spPr>
            <a:pattFill prst="ltHorz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35.9</c:v>
                </c:pt>
                <c:pt idx="1">
                  <c:v>0</c:v>
                </c:pt>
                <c:pt idx="2">
                  <c:v>51.5</c:v>
                </c:pt>
                <c:pt idx="3">
                  <c:v>30.6</c:v>
                </c:pt>
                <c:pt idx="4">
                  <c:v>81.5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% исследованных рабочих мест не соответсвующих СН по освещённости</c:v>
                </c:pt>
              </c:strCache>
            </c:strRef>
          </c:tx>
          <c:spPr>
            <a:pattFill prst="pct40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30.8</c:v>
                </c:pt>
                <c:pt idx="1">
                  <c:v>15.3</c:v>
                </c:pt>
                <c:pt idx="2">
                  <c:v>0</c:v>
                </c:pt>
                <c:pt idx="3">
                  <c:v>11.5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% исследованных рабочих мест не соответствующих СН по микроклимату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13.2</c:v>
                </c:pt>
                <c:pt idx="1">
                  <c:v>4.5</c:v>
                </c:pt>
                <c:pt idx="2">
                  <c:v>16.399999999999999</c:v>
                </c:pt>
                <c:pt idx="3">
                  <c:v>8.8000000000000007</c:v>
                </c:pt>
                <c:pt idx="4">
                  <c:v>26.1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11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gapWidth val="50"/>
        <c:gapDepth val="0"/>
        <c:shape val="box"/>
        <c:axId val="127193472"/>
        <c:axId val="127195008"/>
        <c:axId val="0"/>
      </c:bar3DChart>
      <c:catAx>
        <c:axId val="127193472"/>
        <c:scaling>
          <c:orientation val="minMax"/>
        </c:scaling>
        <c:axPos val="b"/>
        <c:numFmt formatCode="General" sourceLinked="1"/>
        <c:tickLblPos val="low"/>
        <c:spPr>
          <a:ln w="2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195008"/>
        <c:crosses val="autoZero"/>
        <c:auto val="1"/>
        <c:lblAlgn val="ctr"/>
        <c:lblOffset val="100"/>
        <c:tickLblSkip val="1"/>
        <c:tickMarkSkip val="1"/>
      </c:catAx>
      <c:valAx>
        <c:axId val="127195008"/>
        <c:scaling>
          <c:orientation val="minMax"/>
        </c:scaling>
        <c:axPos val="r"/>
        <c:majorGridlines>
          <c:spPr>
            <a:ln w="27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193472"/>
        <c:crosses val="max"/>
        <c:crossBetween val="between"/>
      </c:valAx>
      <c:spPr>
        <a:noFill/>
        <a:ln w="2216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="0" i="0" u="none" strike="noStrike" kern="500" spc="-100" baseline="0">
                <a:solidFill>
                  <a:srgbClr val="000000"/>
                </a:solidFill>
                <a:latin typeface="Calibri" pitchFamily="34" charset="0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6"/>
        <c:delete val="1"/>
      </c:legendEntry>
      <c:layout>
        <c:manualLayout>
          <c:xMode val="edge"/>
          <c:yMode val="edge"/>
          <c:x val="0.67059555699867479"/>
          <c:y val="0"/>
          <c:w val="0.28305991162869348"/>
          <c:h val="0.89189189189189222"/>
        </c:manualLayout>
      </c:layout>
      <c:spPr>
        <a:noFill/>
        <a:ln w="12700">
          <a:solidFill>
            <a:sysClr val="windowText" lastClr="000000"/>
          </a:solidFill>
        </a:ln>
      </c:spPr>
      <c:txPr>
        <a:bodyPr/>
        <a:lstStyle/>
        <a:p>
          <a:pPr>
            <a:defRPr sz="1000" b="0" i="0" u="none" strike="noStrike" kern="500" spc="-100" baseline="0">
              <a:solidFill>
                <a:srgbClr val="000000"/>
              </a:solidFill>
              <a:latin typeface="Calibri" pitchFamily="34" charset="0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7"/>
      <c:hPercent val="56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285968028419166E-2"/>
          <c:y val="3.9823008849557542E-2"/>
          <c:w val="0.62344582593250464"/>
          <c:h val="0.80088495575220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Sheet1!$A$2:$B$2</c:f>
              <c:strCache>
                <c:ptCount val="1"/>
                <c:pt idx="0">
                  <c:v>Показатель профессиональной заболеваемости на 10 тыс. работающих</c:v>
                </c:pt>
              </c:strCache>
            </c:strRef>
          </c:tx>
          <c:spPr>
            <a:pattFill prst="openDmnd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3904725323968839E-3"/>
                  <c:y val="-2.979857402882111E-2"/>
                </c:manualLayout>
              </c:layout>
              <c:showVal val="1"/>
            </c:dLbl>
            <c:dLbl>
              <c:idx val="1"/>
              <c:layout>
                <c:manualLayout>
                  <c:x val="9.8115632699663918E-3"/>
                  <c:y val="-3.4790354970440321E-2"/>
                </c:manualLayout>
              </c:layout>
              <c:showVal val="1"/>
            </c:dLbl>
            <c:dLbl>
              <c:idx val="2"/>
              <c:layout>
                <c:manualLayout>
                  <c:x val="6.3218202433788931E-3"/>
                  <c:y val="-7.3714648913224032E-2"/>
                </c:manualLayout>
              </c:layout>
              <c:showVal val="1"/>
            </c:dLbl>
            <c:dLbl>
              <c:idx val="3"/>
              <c:layout>
                <c:manualLayout>
                  <c:x val="1.8475235217181109E-2"/>
                  <c:y val="-7.592093623665272E-2"/>
                </c:manualLayout>
              </c:layout>
              <c:showVal val="1"/>
            </c:dLbl>
            <c:dLbl>
              <c:idx val="4"/>
              <c:layout>
                <c:manualLayout>
                  <c:x val="3.2689743656843244E-3"/>
                  <c:y val="-6.614825557934694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Sheet1!$C$1:$G$1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7.9</c:v>
                </c:pt>
                <c:pt idx="1">
                  <c:v>4.3</c:v>
                </c:pt>
                <c:pt idx="2">
                  <c:v>5.7</c:v>
                </c:pt>
                <c:pt idx="3">
                  <c:v>5.5</c:v>
                </c:pt>
                <c:pt idx="4">
                  <c:v>4.25</c:v>
                </c:pt>
              </c:numCache>
            </c:numRef>
          </c:val>
        </c:ser>
        <c:ser>
          <c:idx val="1"/>
          <c:order val="1"/>
          <c:tx>
            <c:strRef>
              <c:f>Sheet1!$A$3:$B$3</c:f>
              <c:strCache>
                <c:ptCount val="1"/>
                <c:pt idx="0">
                  <c:v>Покзатель по Приморскому краю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2.7733333333333398E-2"/>
                  <c:y val="-5.6194125159642422E-2"/>
                </c:manualLayout>
              </c:layout>
              <c:showVal val="1"/>
            </c:dLbl>
            <c:dLbl>
              <c:idx val="1"/>
              <c:layout>
                <c:manualLayout>
                  <c:x val="1.9199999999999998E-2"/>
                  <c:y val="-3.0651340996168612E-2"/>
                </c:manualLayout>
              </c:layout>
              <c:showVal val="1"/>
            </c:dLbl>
            <c:dLbl>
              <c:idx val="2"/>
              <c:layout>
                <c:manualLayout>
                  <c:x val="1.2800000000000021E-2"/>
                  <c:y val="-4.0868454661558105E-2"/>
                </c:manualLayout>
              </c:layout>
              <c:showVal val="1"/>
            </c:dLbl>
            <c:dLbl>
              <c:idx val="3"/>
              <c:layout>
                <c:manualLayout>
                  <c:x val="2.9866666666666666E-2"/>
                  <c:y val="-3.5759897828863456E-2"/>
                </c:manualLayout>
              </c:layout>
              <c:showVal val="1"/>
            </c:dLbl>
            <c:dLbl>
              <c:idx val="4"/>
              <c:layout>
                <c:manualLayout>
                  <c:x val="3.6266666666666676E-2"/>
                  <c:y val="-2.5542784163473831E-2"/>
                </c:manualLayout>
              </c:layout>
              <c:showVal val="1"/>
            </c:dLbl>
            <c:showVal val="1"/>
          </c:dLbls>
          <c:cat>
            <c:strRef>
              <c:f>Sheet1!$C$1:$G$1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</c:strCache>
            </c:strRef>
          </c:cat>
          <c:val>
            <c:numRef>
              <c:f>Sheet1!$C$3:$G$3</c:f>
              <c:numCache>
                <c:formatCode>General</c:formatCode>
                <c:ptCount val="5"/>
                <c:pt idx="0">
                  <c:v>3.1</c:v>
                </c:pt>
                <c:pt idx="1">
                  <c:v>1.8</c:v>
                </c:pt>
                <c:pt idx="2">
                  <c:v>1.9700000000000011</c:v>
                </c:pt>
                <c:pt idx="3">
                  <c:v>1.4</c:v>
                </c:pt>
                <c:pt idx="4">
                  <c:v>1.4</c:v>
                </c:pt>
              </c:numCache>
            </c:numRef>
          </c:val>
        </c:ser>
        <c:gapDepth val="0"/>
        <c:shape val="cylinder"/>
        <c:axId val="124483456"/>
        <c:axId val="124484992"/>
        <c:axId val="0"/>
      </c:bar3DChart>
      <c:catAx>
        <c:axId val="124483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484992"/>
        <c:crosses val="autoZero"/>
        <c:auto val="1"/>
        <c:lblAlgn val="ctr"/>
        <c:lblOffset val="100"/>
        <c:tickLblSkip val="1"/>
        <c:tickMarkSkip val="1"/>
      </c:catAx>
      <c:valAx>
        <c:axId val="124484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48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97851792916165"/>
          <c:y val="0.29404732454420207"/>
          <c:w val="0.30374819947506582"/>
          <c:h val="0.477227702858981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профессии горно-добывающей группы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31.6</c:v>
                </c:pt>
                <c:pt idx="1">
                  <c:v>20</c:v>
                </c:pt>
                <c:pt idx="2">
                  <c:v>38.5</c:v>
                </c:pt>
                <c:pt idx="3">
                  <c:v>83.3</c:v>
                </c:pt>
                <c:pt idx="4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профессии по управлению транспортными средствами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57.9</c:v>
                </c:pt>
                <c:pt idx="1">
                  <c:v>60</c:v>
                </c:pt>
                <c:pt idx="2">
                  <c:v>61.5</c:v>
                </c:pt>
                <c:pt idx="3">
                  <c:v>16.7</c:v>
                </c:pt>
                <c:pt idx="4">
                  <c:v>55.6</c:v>
                </c:pt>
              </c:numCache>
            </c:numRef>
          </c:val>
        </c:ser>
        <c:marker val="1"/>
        <c:axId val="106593280"/>
        <c:axId val="124486400"/>
      </c:lineChart>
      <c:catAx>
        <c:axId val="106593280"/>
        <c:scaling>
          <c:orientation val="minMax"/>
        </c:scaling>
        <c:axPos val="b"/>
        <c:numFmt formatCode="General" sourceLinked="1"/>
        <c:tickLblPos val="nextTo"/>
        <c:crossAx val="124486400"/>
        <c:crosses val="autoZero"/>
        <c:auto val="1"/>
        <c:lblAlgn val="ctr"/>
        <c:lblOffset val="100"/>
      </c:catAx>
      <c:valAx>
        <c:axId val="124486400"/>
        <c:scaling>
          <c:orientation val="minMax"/>
        </c:scaling>
        <c:axPos val="l"/>
        <c:majorGridlines/>
        <c:numFmt formatCode="General" sourceLinked="1"/>
        <c:tickLblPos val="nextTo"/>
        <c:crossAx val="106593280"/>
        <c:crosses val="autoZero"/>
        <c:crossBetween val="between"/>
      </c:valAx>
    </c:plotArea>
    <c:legend>
      <c:legendPos val="r"/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perspective val="3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9.2397747156605425E-2"/>
          <c:y val="3.1579297830900181E-2"/>
          <c:w val="0.81439741907261587"/>
          <c:h val="0.874281542272004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41-50 лет</c:v>
                </c:pt>
                <c:pt idx="1">
                  <c:v>51-60лет</c:v>
                </c:pt>
                <c:pt idx="2">
                  <c:v>60и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26.3</c:v>
                </c:pt>
                <c:pt idx="1">
                  <c:v>42.1</c:v>
                </c:pt>
                <c:pt idx="2">
                  <c:v>31.6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narVert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6203703703703703E-2"/>
                  <c:y val="-2.8673835125448088E-2"/>
                </c:manualLayout>
              </c:layout>
              <c:showVal val="1"/>
            </c:dLbl>
            <c:dLbl>
              <c:idx val="2"/>
              <c:layout>
                <c:manualLayout>
                  <c:x val="1.3888888888888926E-2"/>
                  <c:y val="-4.7789725209080114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41-50 лет</c:v>
                </c:pt>
                <c:pt idx="1">
                  <c:v>51-60лет</c:v>
                </c:pt>
                <c:pt idx="2">
                  <c:v>60и старше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70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ashDnDiag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6.9444444444444562E-3"/>
                  <c:y val="-9.5579450418160228E-3"/>
                </c:manualLayout>
              </c:layout>
              <c:showVal val="1"/>
            </c:dLbl>
            <c:dLbl>
              <c:idx val="2"/>
              <c:layout>
                <c:manualLayout>
                  <c:x val="9.2592592592593819E-3"/>
                  <c:y val="-2.389486260454003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41-50 лет</c:v>
                </c:pt>
                <c:pt idx="1">
                  <c:v>51-60лет</c:v>
                </c:pt>
                <c:pt idx="2">
                  <c:v>60и старше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7.7</c:v>
                </c:pt>
                <c:pt idx="1">
                  <c:v>76.900000000000006</c:v>
                </c:pt>
                <c:pt idx="2">
                  <c:v>15.4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1"/>
              <c:layout>
                <c:manualLayout>
                  <c:x val="6.944444444444451E-3"/>
                  <c:y val="-1.353715722773148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41-50 лет</c:v>
                </c:pt>
                <c:pt idx="1">
                  <c:v>51-60лет</c:v>
                </c:pt>
                <c:pt idx="2">
                  <c:v>60и старше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41.7</c:v>
                </c:pt>
                <c:pt idx="2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1"/>
              <c:layout>
                <c:manualLayout>
                  <c:x val="1.6203703703703703E-2"/>
                  <c:y val="5.578800557880057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41-50 лет</c:v>
                </c:pt>
                <c:pt idx="1">
                  <c:v>51-60лет</c:v>
                </c:pt>
                <c:pt idx="2">
                  <c:v>60и старше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44.4</c:v>
                </c:pt>
                <c:pt idx="1">
                  <c:v>44.4</c:v>
                </c:pt>
                <c:pt idx="2">
                  <c:v>11.1</c:v>
                </c:pt>
              </c:numCache>
            </c:numRef>
          </c:val>
        </c:ser>
        <c:shape val="box"/>
        <c:axId val="127493632"/>
        <c:axId val="127495168"/>
        <c:axId val="0"/>
      </c:bar3DChart>
      <c:catAx>
        <c:axId val="127493632"/>
        <c:scaling>
          <c:orientation val="minMax"/>
        </c:scaling>
        <c:axPos val="b"/>
        <c:tickLblPos val="nextTo"/>
        <c:crossAx val="127495168"/>
        <c:crosses val="autoZero"/>
        <c:auto val="1"/>
        <c:lblAlgn val="ctr"/>
        <c:lblOffset val="100"/>
      </c:catAx>
      <c:valAx>
        <c:axId val="12749516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27493632"/>
        <c:crosses val="autoZero"/>
        <c:crossBetween val="between"/>
      </c:valAx>
      <c:spPr>
        <a:noFill/>
        <a:ln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97745748814366"/>
          <c:y val="9.7699064212718081E-2"/>
          <c:w val="0.84469919282067918"/>
          <c:h val="0.58653359819384243"/>
        </c:manualLayout>
      </c:layout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Хр. Пылевой бронхит, ХОБЛ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5.3</c:v>
                </c:pt>
                <c:pt idx="1">
                  <c:v>10</c:v>
                </c:pt>
                <c:pt idx="2">
                  <c:v>7.7</c:v>
                </c:pt>
                <c:pt idx="3">
                  <c:v>33.300000000000004</c:v>
                </c:pt>
                <c:pt idx="4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Силикоз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15.8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Вибрационная болезнь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68.400000000000006</c:v>
                </c:pt>
                <c:pt idx="1">
                  <c:v>60</c:v>
                </c:pt>
                <c:pt idx="2">
                  <c:v>46.2</c:v>
                </c:pt>
                <c:pt idx="3">
                  <c:v>50</c:v>
                </c:pt>
                <c:pt idx="4">
                  <c:v>55.6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Кохл. Неврит, нейросенсорная тугоухость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5.3</c:v>
                </c:pt>
                <c:pt idx="1">
                  <c:v>10</c:v>
                </c:pt>
                <c:pt idx="2">
                  <c:v>38.4</c:v>
                </c:pt>
                <c:pt idx="3">
                  <c:v>16.7</c:v>
                </c:pt>
                <c:pt idx="4">
                  <c:v>33.300000000000004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болезни перифер. нервной сист.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5.3</c:v>
                </c:pt>
                <c:pt idx="1">
                  <c:v>0</c:v>
                </c:pt>
                <c:pt idx="2">
                  <c:v>7.7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Sheet1!$B$1:$F$1</c:f>
              <c:strCache>
                <c:ptCount val="5"/>
                <c:pt idx="0">
                  <c:v>2014год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</c:numCache>
            </c:numRef>
          </c:val>
        </c:ser>
        <c:shape val="box"/>
        <c:axId val="127269120"/>
        <c:axId val="127426560"/>
        <c:axId val="0"/>
      </c:bar3DChart>
      <c:catAx>
        <c:axId val="12726912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426560"/>
        <c:crosses val="autoZero"/>
        <c:auto val="1"/>
        <c:lblAlgn val="ctr"/>
        <c:lblOffset val="100"/>
        <c:tickLblSkip val="1"/>
        <c:tickMarkSkip val="1"/>
      </c:catAx>
      <c:valAx>
        <c:axId val="1274265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2691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4847937963798501E-3"/>
          <c:y val="0.77829675545875932"/>
          <c:w val="0.99135333358055522"/>
          <c:h val="0.19558065880062864"/>
        </c:manualLayout>
      </c:layout>
      <c:overlay val="1"/>
      <c:spPr>
        <a:noFill/>
        <a:ln w="3175">
          <a:noFill/>
          <a:prstDash val="solid"/>
        </a:ln>
      </c:spPr>
      <c:txPr>
        <a:bodyPr/>
        <a:lstStyle/>
        <a:p>
          <a:pPr>
            <a:defRPr sz="11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C3E8-80C2-4013-8362-99403F9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13650</CharactersWithSpaces>
  <SharedDoc>false</SharedDoc>
  <HLinks>
    <vt:vector size="12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mailto:dalnegorsk@pkrpn.ru</vt:lpwstr>
      </vt:variant>
      <vt:variant>
        <vt:lpwstr/>
      </vt:variant>
      <vt:variant>
        <vt:i4>5570640</vt:i4>
      </vt:variant>
      <vt:variant>
        <vt:i4>2186</vt:i4>
      </vt:variant>
      <vt:variant>
        <vt:i4>1025</vt:i4>
      </vt:variant>
      <vt:variant>
        <vt:i4>1</vt:i4>
      </vt:variant>
      <vt:variant>
        <vt:lpwstr>http://www.gsen.ru/gerb3.gif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Зорина</cp:lastModifiedBy>
  <cp:revision>7</cp:revision>
  <cp:lastPrinted>2015-03-16T03:15:00Z</cp:lastPrinted>
  <dcterms:created xsi:type="dcterms:W3CDTF">2010-02-27T03:47:00Z</dcterms:created>
  <dcterms:modified xsi:type="dcterms:W3CDTF">2019-02-28T05:35:00Z</dcterms:modified>
</cp:coreProperties>
</file>