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60"/>
      </w:tblGrid>
      <w:tr w:rsidR="008523AD" w:rsidRPr="00834211" w:rsidTr="00A37A83">
        <w:tc>
          <w:tcPr>
            <w:tcW w:w="5211" w:type="dxa"/>
          </w:tcPr>
          <w:p w:rsidR="008523AD" w:rsidRPr="00834211" w:rsidRDefault="008523AD" w:rsidP="00A37A83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523AD" w:rsidRPr="008523AD" w:rsidRDefault="00907C9A" w:rsidP="00A37A83">
            <w:pPr>
              <w:pStyle w:val="Style2"/>
              <w:widowControl/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8523AD" w:rsidRPr="008523AD">
              <w:rPr>
                <w:sz w:val="26"/>
                <w:szCs w:val="26"/>
              </w:rPr>
              <w:t>УТВЕРЖДЕНО</w:t>
            </w:r>
          </w:p>
          <w:p w:rsidR="008523AD" w:rsidRPr="008523AD" w:rsidRDefault="008523AD" w:rsidP="00A37A83">
            <w:pPr>
              <w:pStyle w:val="Style2"/>
              <w:widowControl/>
              <w:spacing w:line="240" w:lineRule="exact"/>
              <w:jc w:val="left"/>
              <w:rPr>
                <w:sz w:val="26"/>
                <w:szCs w:val="26"/>
              </w:rPr>
            </w:pPr>
            <w:r w:rsidRPr="008523AD">
              <w:rPr>
                <w:sz w:val="26"/>
                <w:szCs w:val="26"/>
              </w:rPr>
              <w:t>постановлением администрации Дальнегорского городского округа</w:t>
            </w:r>
          </w:p>
          <w:p w:rsidR="008523AD" w:rsidRPr="00834211" w:rsidRDefault="008523AD" w:rsidP="00907C9A">
            <w:pPr>
              <w:pStyle w:val="Style2"/>
              <w:widowControl/>
              <w:jc w:val="left"/>
              <w:rPr>
                <w:sz w:val="28"/>
                <w:szCs w:val="28"/>
              </w:rPr>
            </w:pPr>
            <w:r w:rsidRPr="008523AD">
              <w:rPr>
                <w:sz w:val="26"/>
                <w:szCs w:val="26"/>
              </w:rPr>
              <w:t>от ____________</w:t>
            </w:r>
            <w:r w:rsidR="00907C9A">
              <w:rPr>
                <w:sz w:val="26"/>
                <w:szCs w:val="26"/>
              </w:rPr>
              <w:t>____</w:t>
            </w:r>
            <w:r w:rsidRPr="008523AD">
              <w:rPr>
                <w:sz w:val="26"/>
                <w:szCs w:val="26"/>
              </w:rPr>
              <w:t xml:space="preserve"> №______</w:t>
            </w:r>
            <w:r w:rsidR="00907C9A">
              <w:rPr>
                <w:sz w:val="26"/>
                <w:szCs w:val="26"/>
              </w:rPr>
              <w:t>___</w:t>
            </w:r>
          </w:p>
        </w:tc>
      </w:tr>
    </w:tbl>
    <w:p w:rsidR="008523AD" w:rsidRPr="00B256D0" w:rsidRDefault="008523AD" w:rsidP="008523AD">
      <w:pPr>
        <w:pStyle w:val="Style2"/>
        <w:widowControl/>
        <w:rPr>
          <w:sz w:val="28"/>
          <w:szCs w:val="28"/>
        </w:rPr>
      </w:pPr>
    </w:p>
    <w:p w:rsidR="008523AD" w:rsidRPr="00B256D0" w:rsidRDefault="008523AD" w:rsidP="008523AD">
      <w:pPr>
        <w:pStyle w:val="Style2"/>
        <w:widowControl/>
        <w:rPr>
          <w:sz w:val="28"/>
          <w:szCs w:val="28"/>
        </w:rPr>
      </w:pPr>
    </w:p>
    <w:p w:rsidR="008523AD" w:rsidRPr="008523AD" w:rsidRDefault="008523AD" w:rsidP="008523AD">
      <w:pPr>
        <w:pStyle w:val="Style2"/>
        <w:widowControl/>
        <w:rPr>
          <w:b/>
          <w:sz w:val="26"/>
          <w:szCs w:val="26"/>
        </w:rPr>
      </w:pPr>
      <w:r w:rsidRPr="008523AD">
        <w:rPr>
          <w:b/>
          <w:sz w:val="26"/>
          <w:szCs w:val="26"/>
        </w:rPr>
        <w:t>ПОЛОЖЕНИЕ</w:t>
      </w:r>
    </w:p>
    <w:p w:rsidR="008523AD" w:rsidRPr="008523AD" w:rsidRDefault="008523AD" w:rsidP="008523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23AD">
        <w:rPr>
          <w:b/>
          <w:bCs/>
          <w:sz w:val="26"/>
          <w:szCs w:val="26"/>
        </w:rPr>
        <w:t>о</w:t>
      </w:r>
      <w:r w:rsidRPr="008523AD">
        <w:rPr>
          <w:b/>
          <w:sz w:val="26"/>
          <w:szCs w:val="26"/>
        </w:rPr>
        <w:t xml:space="preserve"> рабочей группе  </w:t>
      </w:r>
      <w:r w:rsidRPr="00CE2314">
        <w:rPr>
          <w:b/>
          <w:sz w:val="26"/>
          <w:szCs w:val="26"/>
        </w:rPr>
        <w:t>при администрации Дальнегорского городского</w:t>
      </w:r>
      <w:r>
        <w:rPr>
          <w:b/>
          <w:sz w:val="26"/>
          <w:szCs w:val="26"/>
        </w:rPr>
        <w:t xml:space="preserve"> </w:t>
      </w:r>
      <w:r w:rsidRPr="008523AD">
        <w:rPr>
          <w:b/>
          <w:sz w:val="26"/>
          <w:szCs w:val="26"/>
        </w:rPr>
        <w:t xml:space="preserve">по </w:t>
      </w:r>
      <w:r w:rsidR="008B4FD5">
        <w:rPr>
          <w:b/>
          <w:sz w:val="26"/>
          <w:szCs w:val="26"/>
        </w:rPr>
        <w:t>выявлению</w:t>
      </w:r>
      <w:r w:rsidRPr="008523AD">
        <w:rPr>
          <w:b/>
          <w:sz w:val="26"/>
          <w:szCs w:val="26"/>
        </w:rPr>
        <w:t xml:space="preserve"> неформальной занятости, легализации </w:t>
      </w:r>
      <w:r w:rsidR="008B4FD5">
        <w:rPr>
          <w:b/>
          <w:sz w:val="26"/>
          <w:szCs w:val="26"/>
        </w:rPr>
        <w:t>трудовых отношений</w:t>
      </w:r>
      <w:r w:rsidRPr="008523AD">
        <w:rPr>
          <w:b/>
          <w:sz w:val="26"/>
          <w:szCs w:val="26"/>
        </w:rPr>
        <w:t xml:space="preserve"> и повышению собираемости страховых взносов во внебюджетные фонды </w:t>
      </w:r>
      <w:r w:rsidR="008B4FD5">
        <w:rPr>
          <w:b/>
          <w:sz w:val="26"/>
          <w:szCs w:val="26"/>
        </w:rPr>
        <w:t>на территории Дальнегорского городского округа</w:t>
      </w:r>
    </w:p>
    <w:p w:rsidR="008523AD" w:rsidRDefault="008523AD" w:rsidP="008523AD">
      <w:pPr>
        <w:pStyle w:val="Style2"/>
        <w:widowControl/>
        <w:rPr>
          <w:sz w:val="28"/>
          <w:szCs w:val="28"/>
        </w:rPr>
      </w:pPr>
    </w:p>
    <w:p w:rsidR="00123331" w:rsidRDefault="00123331" w:rsidP="001233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31" w:rsidRDefault="00123331" w:rsidP="00123331">
      <w:pPr>
        <w:pStyle w:val="Style2"/>
        <w:widowControl/>
        <w:numPr>
          <w:ilvl w:val="0"/>
          <w:numId w:val="7"/>
        </w:numPr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>Общие положения</w:t>
      </w:r>
    </w:p>
    <w:p w:rsidR="00123331" w:rsidRPr="00B256D0" w:rsidRDefault="00123331" w:rsidP="00123331">
      <w:pPr>
        <w:pStyle w:val="Style2"/>
        <w:widowControl/>
        <w:ind w:left="360"/>
        <w:rPr>
          <w:rStyle w:val="FontStyle15"/>
          <w:b w:val="0"/>
          <w:sz w:val="28"/>
          <w:szCs w:val="28"/>
        </w:rPr>
      </w:pPr>
    </w:p>
    <w:p w:rsidR="00123331" w:rsidRPr="0066623F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23F">
        <w:rPr>
          <w:sz w:val="28"/>
          <w:szCs w:val="28"/>
        </w:rPr>
        <w:t xml:space="preserve">1. </w:t>
      </w:r>
      <w:proofErr w:type="gramStart"/>
      <w:r w:rsidRPr="00123331">
        <w:rPr>
          <w:sz w:val="26"/>
          <w:szCs w:val="26"/>
        </w:rPr>
        <w:t xml:space="preserve">Рабочая группа  </w:t>
      </w:r>
      <w:r w:rsidRPr="00CE2314">
        <w:rPr>
          <w:sz w:val="26"/>
          <w:szCs w:val="26"/>
        </w:rPr>
        <w:t xml:space="preserve">при администрации </w:t>
      </w:r>
      <w:r w:rsidR="00F1287A" w:rsidRPr="00CE2314">
        <w:rPr>
          <w:sz w:val="26"/>
          <w:szCs w:val="26"/>
        </w:rPr>
        <w:t>Дальнегорского городского округа</w:t>
      </w:r>
      <w:r w:rsidRPr="00123331">
        <w:rPr>
          <w:sz w:val="26"/>
          <w:szCs w:val="26"/>
        </w:rPr>
        <w:t xml:space="preserve"> по </w:t>
      </w:r>
      <w:r w:rsidRPr="00123331">
        <w:rPr>
          <w:b/>
          <w:sz w:val="26"/>
          <w:szCs w:val="26"/>
        </w:rPr>
        <w:t xml:space="preserve"> </w:t>
      </w:r>
      <w:r w:rsidRPr="00123331">
        <w:rPr>
          <w:sz w:val="26"/>
          <w:szCs w:val="26"/>
        </w:rPr>
        <w:t>выявлению неформальной занятости, легализации трудовых отношений и повышению собираемости страховых взносов во внебюджетные фонды</w:t>
      </w:r>
      <w:r w:rsidRPr="00123331">
        <w:rPr>
          <w:b/>
          <w:sz w:val="26"/>
          <w:szCs w:val="26"/>
        </w:rPr>
        <w:t xml:space="preserve"> </w:t>
      </w:r>
      <w:r w:rsidRPr="00123331">
        <w:rPr>
          <w:sz w:val="26"/>
          <w:szCs w:val="26"/>
        </w:rPr>
        <w:t>(далее – Рабочая группа) является коллегиальным постоянно действующим органом, созданным в целях обеспечения условий для легализации трудовых отношений и скрытых форм оплаты труда и повышения собираемости страховых взносов во внебюджетные фонды и уплаты налоговых платежей на территории</w:t>
      </w:r>
      <w:r>
        <w:rPr>
          <w:sz w:val="26"/>
          <w:szCs w:val="26"/>
        </w:rPr>
        <w:t xml:space="preserve"> Дальнегорского городского</w:t>
      </w:r>
      <w:proofErr w:type="gramEnd"/>
      <w:r>
        <w:rPr>
          <w:sz w:val="26"/>
          <w:szCs w:val="26"/>
        </w:rPr>
        <w:t xml:space="preserve"> округа</w:t>
      </w:r>
      <w:r>
        <w:rPr>
          <w:sz w:val="28"/>
          <w:szCs w:val="28"/>
        </w:rPr>
        <w:t>.</w:t>
      </w:r>
    </w:p>
    <w:p w:rsidR="00123331" w:rsidRPr="00123331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3331">
        <w:rPr>
          <w:sz w:val="26"/>
          <w:szCs w:val="26"/>
        </w:rPr>
        <w:t xml:space="preserve">2. Рабочая группа в своей деятельности руководствуется </w:t>
      </w:r>
      <w:hyperlink r:id="rId7" w:history="1">
        <w:r w:rsidRPr="00123331">
          <w:rPr>
            <w:sz w:val="26"/>
            <w:szCs w:val="26"/>
          </w:rPr>
          <w:t>Конституцией</w:t>
        </w:r>
      </w:hyperlink>
      <w:r w:rsidRPr="00123331">
        <w:rPr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нормативными правовыми актами Российской Федерации, Приморского края, муниципальными правовыми актами и </w:t>
      </w:r>
      <w:hyperlink r:id="rId8" w:history="1">
        <w:r w:rsidRPr="00123331">
          <w:rPr>
            <w:sz w:val="26"/>
            <w:szCs w:val="26"/>
          </w:rPr>
          <w:t>Уставом</w:t>
        </w:r>
      </w:hyperlink>
      <w:r w:rsidR="00D638E7">
        <w:t xml:space="preserve"> </w:t>
      </w:r>
      <w:r w:rsidR="00D638E7" w:rsidRPr="00D638E7">
        <w:rPr>
          <w:sz w:val="26"/>
          <w:szCs w:val="26"/>
        </w:rPr>
        <w:t>Дальнегорского городского округа</w:t>
      </w:r>
      <w:r w:rsidRPr="00123331">
        <w:rPr>
          <w:sz w:val="26"/>
          <w:szCs w:val="26"/>
        </w:rPr>
        <w:t>, а также настоящим Положением.</w:t>
      </w:r>
    </w:p>
    <w:p w:rsidR="00123331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31" w:rsidRPr="0027119E" w:rsidRDefault="00123331" w:rsidP="00123331">
      <w:pPr>
        <w:pStyle w:val="Style2"/>
        <w:widowControl/>
        <w:rPr>
          <w:rStyle w:val="FontStyle15"/>
          <w:b w:val="0"/>
          <w:sz w:val="26"/>
          <w:szCs w:val="26"/>
        </w:rPr>
      </w:pPr>
    </w:p>
    <w:p w:rsidR="00123331" w:rsidRPr="0027119E" w:rsidRDefault="00123331" w:rsidP="00123331">
      <w:pPr>
        <w:pStyle w:val="Style2"/>
        <w:widowControl/>
        <w:rPr>
          <w:rStyle w:val="FontStyle15"/>
          <w:b w:val="0"/>
          <w:sz w:val="26"/>
          <w:szCs w:val="26"/>
        </w:rPr>
      </w:pPr>
      <w:r w:rsidRPr="0027119E">
        <w:rPr>
          <w:rStyle w:val="FontStyle15"/>
          <w:b w:val="0"/>
          <w:sz w:val="26"/>
          <w:szCs w:val="26"/>
          <w:lang w:val="en-US"/>
        </w:rPr>
        <w:t>II</w:t>
      </w:r>
      <w:r w:rsidRPr="0027119E">
        <w:rPr>
          <w:rStyle w:val="FontStyle15"/>
          <w:b w:val="0"/>
          <w:sz w:val="26"/>
          <w:szCs w:val="26"/>
        </w:rPr>
        <w:t>. Задачи рабочей группы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>3. Основными задачами Рабочей группы являются: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>организация эффективного взаимодействия</w:t>
      </w:r>
      <w:r w:rsidR="00D638E7" w:rsidRPr="0027119E">
        <w:rPr>
          <w:sz w:val="26"/>
          <w:szCs w:val="26"/>
        </w:rPr>
        <w:t xml:space="preserve"> администрации Дальнегорского городского округа</w:t>
      </w:r>
      <w:r w:rsidRPr="0027119E">
        <w:rPr>
          <w:sz w:val="26"/>
          <w:szCs w:val="26"/>
        </w:rPr>
        <w:t xml:space="preserve">, территориальных органов федеральных органов исполнительной власти, органов исполнительной власти </w:t>
      </w:r>
      <w:r w:rsidR="00D638E7" w:rsidRPr="0027119E">
        <w:rPr>
          <w:sz w:val="26"/>
          <w:szCs w:val="26"/>
        </w:rPr>
        <w:t>Приморско</w:t>
      </w:r>
      <w:r w:rsidRPr="0027119E">
        <w:rPr>
          <w:sz w:val="26"/>
          <w:szCs w:val="26"/>
        </w:rPr>
        <w:t>го края, внебюджетных фондов по вопросам легализации трудовых отношений</w:t>
      </w:r>
      <w:r w:rsidR="0062317F">
        <w:rPr>
          <w:sz w:val="26"/>
          <w:szCs w:val="26"/>
        </w:rPr>
        <w:t>,</w:t>
      </w:r>
      <w:r w:rsidRPr="0027119E">
        <w:rPr>
          <w:sz w:val="26"/>
          <w:szCs w:val="26"/>
        </w:rPr>
        <w:t xml:space="preserve"> повышения собираемости страховых взносов во внебюджетные фонды и уплаты налоговых платежей на территории</w:t>
      </w:r>
      <w:r w:rsidR="00D638E7" w:rsidRPr="0027119E">
        <w:rPr>
          <w:sz w:val="26"/>
          <w:szCs w:val="26"/>
        </w:rPr>
        <w:t xml:space="preserve"> Дальнегорского городского округа</w:t>
      </w:r>
      <w:r w:rsidRPr="0027119E">
        <w:rPr>
          <w:sz w:val="26"/>
          <w:szCs w:val="26"/>
        </w:rPr>
        <w:t>;</w:t>
      </w:r>
    </w:p>
    <w:p w:rsidR="00123331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>информирование работников о способах и порядке защиты прав на своевременную и в полном объеме оплату труда;</w:t>
      </w:r>
    </w:p>
    <w:p w:rsidR="0062317F" w:rsidRPr="009A2433" w:rsidRDefault="0062317F" w:rsidP="009A2433">
      <w:pPr>
        <w:pStyle w:val="Style9"/>
        <w:widowControl/>
        <w:tabs>
          <w:tab w:val="left" w:pos="965"/>
        </w:tabs>
        <w:spacing w:line="240" w:lineRule="auto"/>
        <w:ind w:firstLine="672"/>
        <w:rPr>
          <w:rStyle w:val="FontStyle16"/>
          <w:sz w:val="26"/>
          <w:szCs w:val="26"/>
        </w:rPr>
      </w:pPr>
      <w:r w:rsidRPr="009A2433">
        <w:rPr>
          <w:rStyle w:val="FontStyle16"/>
          <w:sz w:val="26"/>
          <w:szCs w:val="26"/>
        </w:rPr>
        <w:t>выявление причин неформальной занятости, выплаты неофициальной заработной платы работникам организаций;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>выработка предложений по повышению заинтересованности работодателей к легальному оформлению трудовых отношений</w:t>
      </w:r>
      <w:r w:rsidR="00CE2314">
        <w:rPr>
          <w:sz w:val="26"/>
          <w:szCs w:val="26"/>
        </w:rPr>
        <w:t>.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3331" w:rsidRPr="0027119E" w:rsidRDefault="00123331" w:rsidP="00123331">
      <w:pPr>
        <w:pStyle w:val="Style2"/>
        <w:widowControl/>
        <w:ind w:right="5"/>
        <w:rPr>
          <w:rStyle w:val="FontStyle15"/>
          <w:b w:val="0"/>
          <w:sz w:val="26"/>
          <w:szCs w:val="26"/>
        </w:rPr>
      </w:pPr>
      <w:r w:rsidRPr="0027119E">
        <w:rPr>
          <w:rStyle w:val="FontStyle15"/>
          <w:b w:val="0"/>
          <w:sz w:val="26"/>
          <w:szCs w:val="26"/>
        </w:rPr>
        <w:t>III. Права рабочей группы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 xml:space="preserve">4. Рабочая группа для выполнения возложенных на нее задач вправе: 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 xml:space="preserve">запрашивать в установленном порядке необходимые документы от </w:t>
      </w:r>
      <w:r w:rsidRPr="0027119E">
        <w:rPr>
          <w:sz w:val="26"/>
          <w:szCs w:val="26"/>
        </w:rPr>
        <w:lastRenderedPageBreak/>
        <w:t>хозяйствующих субъектов по вопросам деятельности Рабочей группы;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 xml:space="preserve">направлять органам исполнительной власти </w:t>
      </w:r>
      <w:r w:rsidR="00D638E7" w:rsidRPr="0027119E">
        <w:rPr>
          <w:sz w:val="26"/>
          <w:szCs w:val="26"/>
        </w:rPr>
        <w:t>Приморс</w:t>
      </w:r>
      <w:r w:rsidRPr="0027119E">
        <w:rPr>
          <w:sz w:val="26"/>
          <w:szCs w:val="26"/>
        </w:rPr>
        <w:t>кого края, территориальным органам федеральных органов исполнительной власти, органам местного самоуправления информацию для принятия решений в соответствии с законодательством в целях устранения нарушений, выявленных Рабочей группой;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>привлекать для оказания содействия в работе Рабочей группы правоохранительные органы, а также иные органы, осуществляющие государственный надзор и контроль;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>заслушивать на своих заседаниях руководителей (должностных лиц) хозяйствующих субъектов, а также граждан по вопросам, относящимся к компетенции Рабочей группы;</w:t>
      </w:r>
    </w:p>
    <w:p w:rsidR="00123331" w:rsidRPr="0027119E" w:rsidRDefault="00123331" w:rsidP="001233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>направлять информацию (материалы анализа) в налоговые, контролирующие и правоохранительные органы для принятия административных мер воздействия в установленном порядке;</w:t>
      </w:r>
    </w:p>
    <w:p w:rsidR="00C178B3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E">
        <w:rPr>
          <w:sz w:val="26"/>
          <w:szCs w:val="26"/>
        </w:rPr>
        <w:t>рассматривать другие вопросы в соответствии с действующим законодательством</w:t>
      </w:r>
      <w:r w:rsidR="00C178B3">
        <w:rPr>
          <w:sz w:val="26"/>
          <w:szCs w:val="26"/>
        </w:rPr>
        <w:t>;</w:t>
      </w:r>
    </w:p>
    <w:p w:rsidR="00123331" w:rsidRPr="0027119E" w:rsidRDefault="00C178B3" w:rsidP="00C178B3">
      <w:pPr>
        <w:pStyle w:val="Style9"/>
        <w:widowControl/>
        <w:tabs>
          <w:tab w:val="left" w:pos="970"/>
        </w:tabs>
        <w:spacing w:line="240" w:lineRule="auto"/>
        <w:ind w:firstLine="67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принимать </w:t>
      </w:r>
      <w:r w:rsidRPr="00C178B3">
        <w:rPr>
          <w:rStyle w:val="FontStyle16"/>
          <w:sz w:val="26"/>
          <w:szCs w:val="26"/>
        </w:rPr>
        <w:t xml:space="preserve">решения по вопросам, относящимся к компетенции </w:t>
      </w:r>
      <w:r>
        <w:rPr>
          <w:rStyle w:val="FontStyle16"/>
          <w:sz w:val="26"/>
          <w:szCs w:val="26"/>
        </w:rPr>
        <w:t>рабочей  г</w:t>
      </w:r>
      <w:r w:rsidRPr="00C178B3">
        <w:rPr>
          <w:rStyle w:val="FontStyle16"/>
          <w:sz w:val="26"/>
          <w:szCs w:val="26"/>
        </w:rPr>
        <w:t>руппы</w:t>
      </w:r>
      <w:r w:rsidR="00123331" w:rsidRPr="0027119E">
        <w:rPr>
          <w:sz w:val="26"/>
          <w:szCs w:val="26"/>
        </w:rPr>
        <w:t>.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3331" w:rsidRPr="0027119E" w:rsidRDefault="00123331" w:rsidP="00123331">
      <w:pPr>
        <w:pStyle w:val="Style2"/>
        <w:widowControl/>
        <w:rPr>
          <w:rStyle w:val="FontStyle15"/>
          <w:b w:val="0"/>
          <w:sz w:val="26"/>
          <w:szCs w:val="26"/>
        </w:rPr>
      </w:pPr>
      <w:r w:rsidRPr="0027119E">
        <w:rPr>
          <w:rStyle w:val="FontStyle15"/>
          <w:b w:val="0"/>
          <w:sz w:val="26"/>
          <w:szCs w:val="26"/>
        </w:rPr>
        <w:t>IV. Организация деятельности рабочей группы</w:t>
      </w:r>
    </w:p>
    <w:p w:rsidR="00123331" w:rsidRPr="0027119E" w:rsidRDefault="00123331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859" w:rsidRPr="00DF6859" w:rsidRDefault="00DF6859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F6859">
        <w:rPr>
          <w:rStyle w:val="FontStyle16"/>
          <w:sz w:val="26"/>
          <w:szCs w:val="26"/>
        </w:rPr>
        <w:t>Рабочую группу возглавляет председатель, который руководит ее</w:t>
      </w:r>
      <w:r w:rsidRPr="00DF6859">
        <w:rPr>
          <w:rStyle w:val="FontStyle16"/>
          <w:sz w:val="26"/>
          <w:szCs w:val="26"/>
        </w:rPr>
        <w:br/>
        <w:t>деятельностью. В случае отсутствия председателя рабочей группы руководство возлагается на заместителя председателя рабочей группы.</w:t>
      </w:r>
    </w:p>
    <w:p w:rsidR="00123331" w:rsidRDefault="00DF6859" w:rsidP="00DF68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23331" w:rsidRPr="0027119E">
        <w:rPr>
          <w:sz w:val="26"/>
          <w:szCs w:val="26"/>
        </w:rPr>
        <w:t>. Заседания рабочей группы проводятся по мере необходимости (не реже двух раз в месяц).</w:t>
      </w:r>
    </w:p>
    <w:p w:rsidR="00DF6859" w:rsidRPr="00DF6859" w:rsidRDefault="00DF6859" w:rsidP="00DF6859">
      <w:pPr>
        <w:pStyle w:val="Style10"/>
        <w:widowControl/>
        <w:tabs>
          <w:tab w:val="left" w:pos="960"/>
        </w:tabs>
        <w:spacing w:line="240" w:lineRule="auto"/>
        <w:ind w:firstLine="686"/>
        <w:jc w:val="both"/>
        <w:rPr>
          <w:rStyle w:val="FontStyle16"/>
          <w:sz w:val="26"/>
          <w:szCs w:val="26"/>
        </w:rPr>
      </w:pPr>
      <w:r w:rsidRPr="00DF6859">
        <w:rPr>
          <w:rStyle w:val="FontStyle16"/>
          <w:sz w:val="26"/>
          <w:szCs w:val="26"/>
        </w:rPr>
        <w:t>Повестку заседания рабочей группы определяет председатель рабочей группы, а в его отсутствие - заместитель председателя рабочей группы, в соответствии с предложениями членов рабочей группы.</w:t>
      </w:r>
    </w:p>
    <w:p w:rsidR="00396180" w:rsidRPr="00396180" w:rsidRDefault="00123331" w:rsidP="00396180">
      <w:pPr>
        <w:pStyle w:val="Style9"/>
        <w:widowControl/>
        <w:numPr>
          <w:ilvl w:val="0"/>
          <w:numId w:val="5"/>
        </w:numPr>
        <w:tabs>
          <w:tab w:val="left" w:pos="941"/>
        </w:tabs>
        <w:spacing w:line="240" w:lineRule="auto"/>
        <w:ind w:firstLine="677"/>
        <w:rPr>
          <w:rStyle w:val="FontStyle16"/>
          <w:sz w:val="26"/>
          <w:szCs w:val="26"/>
        </w:rPr>
      </w:pPr>
      <w:r w:rsidRPr="0027119E">
        <w:rPr>
          <w:sz w:val="26"/>
          <w:szCs w:val="26"/>
        </w:rPr>
        <w:t>Заседание Рабочей группы считается правомочным, если на нем присутствует не менее половины членов.</w:t>
      </w:r>
      <w:r w:rsidR="00396180" w:rsidRPr="00396180">
        <w:rPr>
          <w:rStyle w:val="FontStyle16"/>
          <w:sz w:val="28"/>
          <w:szCs w:val="28"/>
        </w:rPr>
        <w:t xml:space="preserve"> </w:t>
      </w:r>
      <w:r w:rsidR="00396180" w:rsidRPr="00396180">
        <w:rPr>
          <w:rStyle w:val="FontStyle16"/>
          <w:sz w:val="26"/>
          <w:szCs w:val="26"/>
        </w:rPr>
        <w:t>Решения рабочей группы принимаются большинством голосов присутствующих на заседании рабочей группы путем открытого голосования.</w:t>
      </w:r>
    </w:p>
    <w:p w:rsidR="00123331" w:rsidRPr="00396180" w:rsidRDefault="00396180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180">
        <w:rPr>
          <w:rStyle w:val="FontStyle16"/>
          <w:sz w:val="26"/>
          <w:szCs w:val="26"/>
        </w:rPr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123331" w:rsidRPr="0027119E" w:rsidRDefault="00396180" w:rsidP="001233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23331" w:rsidRPr="0027119E">
        <w:rPr>
          <w:sz w:val="26"/>
          <w:szCs w:val="26"/>
        </w:rPr>
        <w:t xml:space="preserve">. Решения, принятые Рабочей группой оформляются в виде протоколов заседаний, которые подписывает руководитель Рабочей группы или его заместитель, председательствовавший на заседании, и секретарь. </w:t>
      </w:r>
    </w:p>
    <w:p w:rsidR="0027119E" w:rsidRDefault="00396180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9</w:t>
      </w:r>
      <w:r w:rsidR="00D638E7" w:rsidRPr="0027119E">
        <w:rPr>
          <w:sz w:val="26"/>
          <w:szCs w:val="26"/>
        </w:rPr>
        <w:t>. Организационно-техническое обеспечение деятельности Рабочей группы осуществляет администрация Дальнегорского городского округа</w:t>
      </w:r>
      <w:r w:rsidR="00D638E7">
        <w:rPr>
          <w:sz w:val="28"/>
          <w:szCs w:val="28"/>
        </w:rPr>
        <w:t>.</w:t>
      </w:r>
    </w:p>
    <w:p w:rsidR="00EA6356" w:rsidRDefault="00EA6356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56" w:rsidRDefault="00EA6356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56" w:rsidRDefault="00EA6356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56" w:rsidRDefault="00EA6356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56" w:rsidRDefault="00EA6356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56" w:rsidRDefault="00EA6356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56" w:rsidRDefault="00EA6356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56" w:rsidRDefault="00EA6356" w:rsidP="00396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A6356" w:rsidSect="009A7F94">
      <w:headerReference w:type="default" r:id="rId9"/>
      <w:pgSz w:w="11907" w:h="16840" w:code="9"/>
      <w:pgMar w:top="426" w:right="851" w:bottom="993" w:left="1701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F3" w:rsidRDefault="00A12EF3" w:rsidP="00234BF8">
      <w:r>
        <w:separator/>
      </w:r>
    </w:p>
  </w:endnote>
  <w:endnote w:type="continuationSeparator" w:id="0">
    <w:p w:rsidR="00A12EF3" w:rsidRDefault="00A12EF3" w:rsidP="0023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F3" w:rsidRDefault="00A12EF3" w:rsidP="00234BF8">
      <w:r>
        <w:separator/>
      </w:r>
    </w:p>
  </w:footnote>
  <w:footnote w:type="continuationSeparator" w:id="0">
    <w:p w:rsidR="00A12EF3" w:rsidRDefault="00A12EF3" w:rsidP="00234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FB" w:rsidRDefault="00F777D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D54"/>
    <w:multiLevelType w:val="singleLevel"/>
    <w:tmpl w:val="9662D40E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36D565C"/>
    <w:multiLevelType w:val="hybridMultilevel"/>
    <w:tmpl w:val="A9A0CE64"/>
    <w:lvl w:ilvl="0" w:tplc="5E5A184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3A4D59B4"/>
    <w:multiLevelType w:val="singleLevel"/>
    <w:tmpl w:val="212E4E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19D6CB0"/>
    <w:multiLevelType w:val="hybridMultilevel"/>
    <w:tmpl w:val="1F9ABE16"/>
    <w:lvl w:ilvl="0" w:tplc="B8840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4B1"/>
    <w:multiLevelType w:val="hybridMultilevel"/>
    <w:tmpl w:val="A9E681DE"/>
    <w:lvl w:ilvl="0" w:tplc="71183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52A0C26"/>
    <w:multiLevelType w:val="singleLevel"/>
    <w:tmpl w:val="8AA0AFE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3AD"/>
    <w:rsid w:val="00123331"/>
    <w:rsid w:val="00234BF8"/>
    <w:rsid w:val="0027119E"/>
    <w:rsid w:val="00396180"/>
    <w:rsid w:val="004A7D22"/>
    <w:rsid w:val="0062317F"/>
    <w:rsid w:val="007778D4"/>
    <w:rsid w:val="00815E82"/>
    <w:rsid w:val="008523AD"/>
    <w:rsid w:val="008B4FD5"/>
    <w:rsid w:val="00907C9A"/>
    <w:rsid w:val="009A2433"/>
    <w:rsid w:val="009A7F94"/>
    <w:rsid w:val="00A12EF3"/>
    <w:rsid w:val="00C178B3"/>
    <w:rsid w:val="00CE2314"/>
    <w:rsid w:val="00CF222E"/>
    <w:rsid w:val="00D638E7"/>
    <w:rsid w:val="00D94CE0"/>
    <w:rsid w:val="00DF6859"/>
    <w:rsid w:val="00E20D1D"/>
    <w:rsid w:val="00EA6356"/>
    <w:rsid w:val="00F1287A"/>
    <w:rsid w:val="00F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3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23AD"/>
  </w:style>
  <w:style w:type="paragraph" w:customStyle="1" w:styleId="Style5">
    <w:name w:val="Style5"/>
    <w:basedOn w:val="a"/>
    <w:uiPriority w:val="99"/>
    <w:rsid w:val="008523AD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523AD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523AD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523A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8523A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523A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523AD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11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3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A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311AAFAD3302FBB9545E359B219BAD166134F8AD13EAA1A6A1BD771E79CECUEH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9311AAFAD3302FBB955BEE4FDE44B2DB654A47878261FE12604EU8H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2015-03-13T01:41:00Z</cp:lastPrinted>
  <dcterms:created xsi:type="dcterms:W3CDTF">2015-03-12T02:43:00Z</dcterms:created>
  <dcterms:modified xsi:type="dcterms:W3CDTF">2015-03-13T02:05:00Z</dcterms:modified>
</cp:coreProperties>
</file>