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AD" w:rsidRDefault="0005480F" w:rsidP="00B94D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20B52" w:rsidRPr="0005480F" w:rsidRDefault="009D12E8" w:rsidP="00B94D42">
      <w:pPr>
        <w:pStyle w:val="ab"/>
        <w:ind w:left="524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B94D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B94D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05480F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4C2F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5480F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7B10DE" w:rsidRDefault="007B10DE" w:rsidP="007B10DE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10DE" w:rsidRPr="007B10DE" w:rsidRDefault="007B10DE" w:rsidP="007B10DE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02CB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 xml:space="preserve">Методика расчета платы </w:t>
      </w:r>
      <w:r w:rsidRPr="0015140C">
        <w:rPr>
          <w:rFonts w:ascii="Times New Roman" w:hAnsi="Times New Roman"/>
          <w:b/>
          <w:sz w:val="26"/>
          <w:szCs w:val="26"/>
        </w:rPr>
        <w:t xml:space="preserve">за право включения </w:t>
      </w:r>
    </w:p>
    <w:p w:rsidR="00F46F76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хозяйствующего субъекта в схему размещения </w:t>
      </w:r>
    </w:p>
    <w:p w:rsidR="00F46F76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нестационарных торговых объектов на территории </w:t>
      </w:r>
    </w:p>
    <w:p w:rsidR="00120B52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</w:p>
    <w:p w:rsidR="00120B52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B52" w:rsidRPr="0015140C" w:rsidRDefault="00120B52" w:rsidP="009D12E8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1.1. Настоящая Методика </w:t>
      </w:r>
      <w:r w:rsidRPr="007B10DE">
        <w:rPr>
          <w:rFonts w:ascii="Times New Roman" w:hAnsi="Times New Roman"/>
          <w:bCs/>
          <w:sz w:val="26"/>
          <w:szCs w:val="26"/>
        </w:rPr>
        <w:t xml:space="preserve">расчета </w:t>
      </w:r>
      <w:bookmarkStart w:id="0" w:name="_GoBack"/>
      <w:r w:rsidRPr="007B10DE">
        <w:rPr>
          <w:rFonts w:ascii="Times New Roman" w:hAnsi="Times New Roman"/>
          <w:bCs/>
          <w:sz w:val="26"/>
          <w:szCs w:val="26"/>
        </w:rPr>
        <w:t xml:space="preserve">платы </w:t>
      </w:r>
      <w:r w:rsidRPr="007B10DE">
        <w:rPr>
          <w:rFonts w:ascii="Times New Roman" w:hAnsi="Times New Roman"/>
          <w:sz w:val="26"/>
          <w:szCs w:val="26"/>
        </w:rPr>
        <w:t>за право включения хозяйствующего субъекта в схему размещения нестационарных торговых объектов на территории Дальнегорского городского округа</w:t>
      </w:r>
      <w:bookmarkEnd w:id="0"/>
      <w:r w:rsidRPr="007B10DE">
        <w:rPr>
          <w:rFonts w:ascii="Times New Roman" w:hAnsi="Times New Roman"/>
          <w:sz w:val="26"/>
          <w:szCs w:val="26"/>
        </w:rPr>
        <w:t xml:space="preserve"> (далее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 xml:space="preserve">Методика) разработана во исполнение постановления </w:t>
      </w:r>
      <w:r w:rsidR="006150AB" w:rsidRPr="002A1117">
        <w:rPr>
          <w:rFonts w:ascii="Times New Roman" w:hAnsi="Times New Roman"/>
          <w:sz w:val="26"/>
          <w:szCs w:val="26"/>
        </w:rPr>
        <w:t>Правительства</w:t>
      </w:r>
      <w:r w:rsidRPr="007B10DE">
        <w:rPr>
          <w:rFonts w:ascii="Times New Roman" w:hAnsi="Times New Roman"/>
          <w:sz w:val="26"/>
          <w:szCs w:val="26"/>
        </w:rPr>
        <w:t xml:space="preserve"> Приморского края от 17.04.2018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</w:p>
    <w:p w:rsid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2. Порядок определения размера платы за право включения </w:t>
      </w:r>
    </w:p>
    <w:p w:rsid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хозяйствующего субъекта в схему размещения нестационарных </w:t>
      </w:r>
    </w:p>
    <w:p w:rsidR="00120B52" w:rsidRPr="0015140C" w:rsidRDefault="00120B52" w:rsidP="009D12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торговых объектов на территории Дальнегорского городского округа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2.1. Плата за право включения хозяйствующего субъекта в схему размещения нестационарных торговых объектов</w:t>
      </w:r>
      <w:r w:rsidR="003F7F46">
        <w:rPr>
          <w:rFonts w:ascii="Times New Roman" w:hAnsi="Times New Roman"/>
          <w:sz w:val="26"/>
          <w:szCs w:val="26"/>
        </w:rPr>
        <w:t xml:space="preserve"> (далее – НТО)</w:t>
      </w:r>
      <w:r w:rsidRPr="007B10DE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 (далее - плата) устанавливается исходя из следующих критериев:</w:t>
      </w:r>
    </w:p>
    <w:p w:rsidR="00254DD4" w:rsidRDefault="00254DD4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7B10DE">
        <w:rPr>
          <w:rFonts w:ascii="Times New Roman" w:hAnsi="Times New Roman"/>
          <w:sz w:val="26"/>
          <w:szCs w:val="26"/>
        </w:rPr>
        <w:t>среднего значения удельного показателя кадастровой стоимости земельных участков г. Дальнегорск из расчета 4-го вида разрешенного использования</w:t>
      </w:r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>;</w:t>
      </w:r>
    </w:p>
    <w:p w:rsidR="00254DD4" w:rsidRDefault="005F0ABC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5F0ABC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коэффициента </w:t>
      </w:r>
      <w:r w:rsidR="00254DD4">
        <w:rPr>
          <w:rFonts w:ascii="Times New Roman" w:eastAsiaTheme="minorEastAsia" w:hAnsi="Times New Roman"/>
          <w:bCs/>
          <w:sz w:val="26"/>
          <w:szCs w:val="26"/>
          <w:lang w:eastAsia="ru-RU"/>
        </w:rPr>
        <w:t>накопленной инфляции;</w:t>
      </w:r>
    </w:p>
    <w:p w:rsidR="00254DD4" w:rsidRPr="007B10DE" w:rsidRDefault="00254DD4" w:rsidP="00254D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коэффициента типа НТО</w:t>
      </w:r>
      <w:r w:rsidRPr="007B10DE">
        <w:rPr>
          <w:rFonts w:ascii="Times New Roman" w:hAnsi="Times New Roman"/>
          <w:sz w:val="26"/>
          <w:szCs w:val="26"/>
        </w:rPr>
        <w:t>;</w:t>
      </w:r>
    </w:p>
    <w:p w:rsidR="00254DD4" w:rsidRPr="007B10DE" w:rsidRDefault="00254DD4" w:rsidP="00254DD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коэффициента функционального использования;</w:t>
      </w:r>
    </w:p>
    <w:p w:rsidR="00254DD4" w:rsidRPr="007B10DE" w:rsidRDefault="00254DD4" w:rsidP="00254D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площади </w:t>
      </w:r>
      <w:r>
        <w:rPr>
          <w:rFonts w:ascii="Times New Roman" w:hAnsi="Times New Roman"/>
          <w:sz w:val="26"/>
          <w:szCs w:val="26"/>
        </w:rPr>
        <w:t>НТО</w:t>
      </w:r>
      <w:r w:rsidRPr="007B10DE">
        <w:rPr>
          <w:rFonts w:ascii="Times New Roman" w:hAnsi="Times New Roman"/>
          <w:sz w:val="26"/>
          <w:szCs w:val="26"/>
        </w:rPr>
        <w:t>;</w:t>
      </w:r>
    </w:p>
    <w:p w:rsidR="00254DD4" w:rsidRPr="007B10DE" w:rsidRDefault="00254DD4" w:rsidP="00254DD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коэффициента территориального размещения</w:t>
      </w:r>
      <w:r>
        <w:rPr>
          <w:rFonts w:ascii="Times New Roman" w:hAnsi="Times New Roman"/>
          <w:sz w:val="26"/>
          <w:szCs w:val="26"/>
        </w:rPr>
        <w:t xml:space="preserve"> НТО;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периода включения хозяйствующего субъекта в схему размещения нестационарных торговых объектов на территории Дальнегорского городского округа (далее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>Схема)</w:t>
      </w:r>
      <w:r w:rsidR="00254DD4">
        <w:rPr>
          <w:rFonts w:ascii="Times New Roman" w:hAnsi="Times New Roman"/>
          <w:sz w:val="26"/>
          <w:szCs w:val="26"/>
        </w:rPr>
        <w:t>.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2.2. Размер платы без проведения закрытого аукциона </w:t>
      </w:r>
      <w:r w:rsidRPr="007B10DE">
        <w:rPr>
          <w:rFonts w:ascii="Times New Roman" w:hAnsi="Times New Roman"/>
          <w:bCs/>
          <w:sz w:val="26"/>
          <w:szCs w:val="26"/>
        </w:rPr>
        <w:t xml:space="preserve">на право </w:t>
      </w:r>
      <w:r w:rsidRPr="007B10DE">
        <w:rPr>
          <w:rFonts w:ascii="Times New Roman" w:hAnsi="Times New Roman"/>
          <w:sz w:val="26"/>
          <w:szCs w:val="26"/>
        </w:rPr>
        <w:t xml:space="preserve">включения </w:t>
      </w:r>
      <w:r w:rsidRPr="007B10DE">
        <w:rPr>
          <w:rFonts w:ascii="Times New Roman" w:hAnsi="Times New Roman"/>
          <w:kern w:val="36"/>
          <w:sz w:val="26"/>
          <w:szCs w:val="26"/>
        </w:rPr>
        <w:t>в С</w:t>
      </w:r>
      <w:r w:rsidRPr="007B10DE">
        <w:rPr>
          <w:rFonts w:ascii="Times New Roman" w:hAnsi="Times New Roman"/>
          <w:sz w:val="26"/>
          <w:szCs w:val="26"/>
        </w:rPr>
        <w:t>хему (далее - аукцион) определяется по следующей формуле: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П = (</w:t>
      </w:r>
      <w:r w:rsidR="0005480F">
        <w:rPr>
          <w:rFonts w:ascii="Times New Roman" w:hAnsi="Times New Roman"/>
          <w:sz w:val="26"/>
          <w:szCs w:val="26"/>
        </w:rPr>
        <w:t>(</w:t>
      </w:r>
      <w:proofErr w:type="spellStart"/>
      <w:r w:rsidRPr="007B10DE">
        <w:rPr>
          <w:rFonts w:ascii="Times New Roman" w:hAnsi="Times New Roman"/>
          <w:sz w:val="26"/>
          <w:szCs w:val="26"/>
        </w:rPr>
        <w:t>С</w:t>
      </w:r>
      <w:r w:rsidRPr="005F0ABC">
        <w:rPr>
          <w:rFonts w:ascii="Times New Roman" w:hAnsi="Times New Roman"/>
          <w:sz w:val="26"/>
          <w:szCs w:val="26"/>
          <w:vertAlign w:val="subscript"/>
        </w:rPr>
        <w:t>кд</w:t>
      </w:r>
      <w:proofErr w:type="spellEnd"/>
      <w:r w:rsidR="005F0ABC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="005F0ABC">
        <w:rPr>
          <w:rFonts w:ascii="Times New Roman" w:hAnsi="Times New Roman"/>
          <w:sz w:val="26"/>
          <w:szCs w:val="26"/>
        </w:rPr>
        <w:t>К</w:t>
      </w:r>
      <w:r w:rsidR="005F0ABC" w:rsidRPr="005F0ABC">
        <w:rPr>
          <w:rFonts w:ascii="Times New Roman" w:hAnsi="Times New Roman"/>
          <w:sz w:val="26"/>
          <w:szCs w:val="26"/>
          <w:vertAlign w:val="subscript"/>
        </w:rPr>
        <w:t>ни</w:t>
      </w:r>
      <w:proofErr w:type="spellEnd"/>
      <w:r w:rsidR="0005480F">
        <w:rPr>
          <w:rFonts w:ascii="Times New Roman" w:hAnsi="Times New Roman"/>
          <w:sz w:val="26"/>
          <w:szCs w:val="26"/>
        </w:rPr>
        <w:t>)</w:t>
      </w:r>
      <w:r w:rsidR="005F0ABC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="00B3663A">
        <w:rPr>
          <w:rFonts w:ascii="Times New Roman" w:hAnsi="Times New Roman"/>
          <w:sz w:val="26"/>
          <w:szCs w:val="26"/>
        </w:rPr>
        <w:t>К</w:t>
      </w:r>
      <w:r w:rsidR="00B3663A" w:rsidRPr="005F0ABC">
        <w:rPr>
          <w:rFonts w:ascii="Times New Roman" w:hAnsi="Times New Roman"/>
          <w:sz w:val="26"/>
          <w:szCs w:val="26"/>
          <w:vertAlign w:val="subscript"/>
        </w:rPr>
        <w:t>тип</w:t>
      </w:r>
      <w:proofErr w:type="spellEnd"/>
      <w:r w:rsidR="005F0AB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5F0ABC">
        <w:rPr>
          <w:rFonts w:ascii="Times New Roman" w:hAnsi="Times New Roman"/>
          <w:sz w:val="26"/>
          <w:szCs w:val="26"/>
        </w:rPr>
        <w:t xml:space="preserve">х </w:t>
      </w: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фи</w:t>
      </w:r>
      <w:proofErr w:type="spellEnd"/>
      <w:r w:rsidR="005F0AB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5F0ABC">
        <w:rPr>
          <w:rFonts w:ascii="Times New Roman" w:hAnsi="Times New Roman"/>
          <w:sz w:val="26"/>
          <w:szCs w:val="26"/>
        </w:rPr>
        <w:t>х</w:t>
      </w:r>
      <w:r w:rsidRPr="007B10DE">
        <w:rPr>
          <w:rFonts w:ascii="Times New Roman" w:hAnsi="Times New Roman"/>
          <w:sz w:val="26"/>
          <w:szCs w:val="26"/>
        </w:rPr>
        <w:t xml:space="preserve"> </w:t>
      </w:r>
      <w:r w:rsidRPr="007B10DE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5F0ABC">
        <w:rPr>
          <w:rFonts w:ascii="Times New Roman" w:hAnsi="Times New Roman"/>
          <w:sz w:val="26"/>
          <w:szCs w:val="26"/>
          <w:vertAlign w:val="subscript"/>
        </w:rPr>
        <w:t>нто</w:t>
      </w:r>
      <w:proofErr w:type="spellEnd"/>
      <w:r w:rsidRPr="007B10DE">
        <w:rPr>
          <w:rFonts w:ascii="Times New Roman" w:hAnsi="Times New Roman"/>
          <w:sz w:val="26"/>
          <w:szCs w:val="26"/>
        </w:rPr>
        <w:t xml:space="preserve"> </w:t>
      </w:r>
      <w:r w:rsidR="005F0ABC">
        <w:rPr>
          <w:rFonts w:ascii="Times New Roman" w:hAnsi="Times New Roman"/>
          <w:sz w:val="26"/>
          <w:szCs w:val="26"/>
        </w:rPr>
        <w:t xml:space="preserve">х </w:t>
      </w: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т</w:t>
      </w:r>
      <w:proofErr w:type="spellEnd"/>
      <w:r w:rsidRPr="007B10DE">
        <w:rPr>
          <w:rFonts w:ascii="Times New Roman" w:hAnsi="Times New Roman"/>
          <w:sz w:val="26"/>
          <w:szCs w:val="26"/>
        </w:rPr>
        <w:t>)/</w:t>
      </w:r>
      <w:r w:rsidR="0005480F">
        <w:rPr>
          <w:rFonts w:ascii="Times New Roman" w:hAnsi="Times New Roman"/>
          <w:sz w:val="26"/>
          <w:szCs w:val="26"/>
        </w:rPr>
        <w:t>365</w:t>
      </w:r>
      <w:r w:rsidR="005F0ABC">
        <w:rPr>
          <w:rFonts w:ascii="Times New Roman" w:hAnsi="Times New Roman"/>
          <w:sz w:val="26"/>
          <w:szCs w:val="26"/>
        </w:rPr>
        <w:t xml:space="preserve"> х </w:t>
      </w:r>
      <w:r w:rsidRPr="007B10DE">
        <w:rPr>
          <w:rFonts w:ascii="Times New Roman" w:hAnsi="Times New Roman"/>
          <w:sz w:val="26"/>
          <w:szCs w:val="26"/>
          <w:lang w:val="en-US"/>
        </w:rPr>
        <w:t>T</w:t>
      </w:r>
      <w:r w:rsidRPr="007B10DE">
        <w:rPr>
          <w:rFonts w:ascii="Times New Roman" w:hAnsi="Times New Roman"/>
          <w:sz w:val="26"/>
          <w:szCs w:val="26"/>
        </w:rPr>
        <w:t>, где:</w:t>
      </w:r>
    </w:p>
    <w:p w:rsidR="0093332B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П – размер платы за право включения хозяйствующего субъекта в схему размещения </w:t>
      </w:r>
      <w:r w:rsidR="006A5D71">
        <w:rPr>
          <w:rFonts w:ascii="Times New Roman" w:hAnsi="Times New Roman"/>
          <w:sz w:val="26"/>
          <w:szCs w:val="26"/>
        </w:rPr>
        <w:t>НТО</w:t>
      </w:r>
      <w:r w:rsidRPr="007B10DE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 (определяется в полных рублях,</w:t>
      </w:r>
      <w:r w:rsidRPr="007B10DE">
        <w:rPr>
          <w:sz w:val="26"/>
          <w:szCs w:val="26"/>
        </w:rPr>
        <w:t xml:space="preserve"> </w:t>
      </w:r>
      <w:r w:rsidRPr="007B10DE">
        <w:rPr>
          <w:rFonts w:ascii="Times New Roman" w:hAnsi="Times New Roman"/>
          <w:sz w:val="26"/>
          <w:szCs w:val="26"/>
        </w:rPr>
        <w:t>при этом часть суммы, составляющая менее 50 копеек, отбрасывается, а часть, равная 50 копейкам и более, округляется до полного рубля)</w:t>
      </w:r>
      <w:r w:rsidR="00871DA5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120B52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proofErr w:type="spellStart"/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>С</w:t>
      </w:r>
      <w:r w:rsidRPr="005F0ABC">
        <w:rPr>
          <w:rFonts w:ascii="Times New Roman" w:eastAsiaTheme="minorEastAsia" w:hAnsi="Times New Roman"/>
          <w:bCs/>
          <w:sz w:val="26"/>
          <w:szCs w:val="26"/>
          <w:vertAlign w:val="subscript"/>
          <w:lang w:eastAsia="ru-RU"/>
        </w:rPr>
        <w:t>кд</w:t>
      </w:r>
      <w:proofErr w:type="spellEnd"/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</w:t>
      </w:r>
      <w:r w:rsidR="003F7F46" w:rsidRPr="003F7F46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 xml:space="preserve">среднее значение удельного показателя кадастровой стоимости земельных участков г. Дальнегорск из расчета 4-го вида разрешенного </w:t>
      </w:r>
      <w:r w:rsidRPr="007B10DE">
        <w:rPr>
          <w:rFonts w:ascii="Times New Roman" w:hAnsi="Times New Roman"/>
          <w:sz w:val="26"/>
          <w:szCs w:val="26"/>
        </w:rPr>
        <w:lastRenderedPageBreak/>
        <w:t>использования</w:t>
      </w:r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>;</w:t>
      </w:r>
    </w:p>
    <w:p w:rsidR="00254DD4" w:rsidRDefault="005F0ABC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ни</w:t>
      </w:r>
      <w:r w:rsidR="00254DD4">
        <w:rPr>
          <w:rFonts w:ascii="Times New Roman" w:hAnsi="Times New Roman"/>
          <w:sz w:val="26"/>
          <w:szCs w:val="26"/>
        </w:rPr>
        <w:t xml:space="preserve"> – </w:t>
      </w:r>
      <w:r w:rsidRPr="005F0ABC">
        <w:rPr>
          <w:rFonts w:ascii="Times New Roman" w:hAnsi="Times New Roman"/>
          <w:sz w:val="26"/>
          <w:szCs w:val="26"/>
        </w:rPr>
        <w:t xml:space="preserve">коэффициент </w:t>
      </w:r>
      <w:r w:rsidR="00254DD4">
        <w:rPr>
          <w:rFonts w:ascii="Times New Roman" w:hAnsi="Times New Roman"/>
          <w:sz w:val="26"/>
          <w:szCs w:val="26"/>
        </w:rPr>
        <w:t>накопленн</w:t>
      </w:r>
      <w:r>
        <w:rPr>
          <w:rFonts w:ascii="Times New Roman" w:hAnsi="Times New Roman"/>
          <w:sz w:val="26"/>
          <w:szCs w:val="26"/>
        </w:rPr>
        <w:t>ой</w:t>
      </w:r>
      <w:r w:rsidR="00254D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инфляции</w:t>
      </w:r>
      <w:r w:rsidR="00254DD4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B3663A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тип</w:t>
      </w:r>
      <w:proofErr w:type="spellEnd"/>
      <w:r w:rsidR="00120B52" w:rsidRPr="007B10DE">
        <w:rPr>
          <w:rFonts w:ascii="Times New Roman" w:hAnsi="Times New Roman"/>
          <w:sz w:val="26"/>
          <w:szCs w:val="26"/>
        </w:rPr>
        <w:t xml:space="preserve"> </w:t>
      </w:r>
      <w:r w:rsidR="003F7F46" w:rsidRPr="003F7F4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коэффициент типа НТО</w:t>
      </w:r>
      <w:r w:rsidR="00120B52" w:rsidRPr="007B10DE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фи</w:t>
      </w:r>
      <w:proofErr w:type="spellEnd"/>
      <w:r w:rsidRPr="007B10DE">
        <w:rPr>
          <w:rFonts w:ascii="Times New Roman" w:hAnsi="Times New Roman"/>
          <w:sz w:val="26"/>
          <w:szCs w:val="26"/>
        </w:rPr>
        <w:t xml:space="preserve"> </w:t>
      </w:r>
      <w:r w:rsidR="003F7F46" w:rsidRPr="003F7F46">
        <w:rPr>
          <w:rFonts w:ascii="Times New Roman" w:hAnsi="Times New Roman"/>
          <w:sz w:val="26"/>
          <w:szCs w:val="26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>коэффициент функционального использования;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5F0ABC">
        <w:rPr>
          <w:rFonts w:ascii="Times New Roman" w:hAnsi="Times New Roman"/>
          <w:sz w:val="26"/>
          <w:szCs w:val="26"/>
          <w:vertAlign w:val="subscript"/>
        </w:rPr>
        <w:t>нто</w:t>
      </w:r>
      <w:proofErr w:type="spellEnd"/>
      <w:r w:rsidRPr="007B10DE">
        <w:rPr>
          <w:rFonts w:ascii="Times New Roman" w:hAnsi="Times New Roman"/>
          <w:sz w:val="26"/>
          <w:szCs w:val="26"/>
        </w:rPr>
        <w:t xml:space="preserve"> – </w:t>
      </w:r>
      <w:r w:rsidR="003F7F46">
        <w:rPr>
          <w:rFonts w:ascii="Times New Roman" w:hAnsi="Times New Roman"/>
          <w:sz w:val="26"/>
          <w:szCs w:val="26"/>
        </w:rPr>
        <w:t>площадь</w:t>
      </w:r>
      <w:r w:rsidR="003F7F46" w:rsidRPr="003F7F46">
        <w:rPr>
          <w:rFonts w:ascii="Times New Roman" w:hAnsi="Times New Roman"/>
          <w:sz w:val="26"/>
          <w:szCs w:val="26"/>
        </w:rPr>
        <w:t xml:space="preserve"> </w:t>
      </w:r>
      <w:r w:rsidR="006A5D71">
        <w:rPr>
          <w:rFonts w:ascii="Times New Roman" w:hAnsi="Times New Roman"/>
          <w:sz w:val="26"/>
          <w:szCs w:val="26"/>
        </w:rPr>
        <w:t>НТО</w:t>
      </w:r>
      <w:r w:rsidRPr="007B10DE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т</w:t>
      </w:r>
      <w:proofErr w:type="spellEnd"/>
      <w:r w:rsidR="003F7F46">
        <w:rPr>
          <w:rFonts w:ascii="Times New Roman" w:hAnsi="Times New Roman"/>
          <w:sz w:val="26"/>
          <w:szCs w:val="26"/>
        </w:rPr>
        <w:t xml:space="preserve"> </w:t>
      </w:r>
      <w:r w:rsidR="003F7F46" w:rsidRPr="003F7F46">
        <w:rPr>
          <w:rFonts w:ascii="Times New Roman" w:hAnsi="Times New Roman"/>
          <w:sz w:val="26"/>
          <w:szCs w:val="26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>коэффициент территориального размещения</w:t>
      </w:r>
      <w:r w:rsidR="003F7F46">
        <w:rPr>
          <w:rFonts w:ascii="Times New Roman" w:hAnsi="Times New Roman"/>
          <w:sz w:val="26"/>
          <w:szCs w:val="26"/>
        </w:rPr>
        <w:t xml:space="preserve"> НТО</w:t>
      </w:r>
      <w:r w:rsidRPr="007B10DE">
        <w:rPr>
          <w:rFonts w:ascii="Times New Roman" w:hAnsi="Times New Roman"/>
          <w:sz w:val="26"/>
          <w:szCs w:val="26"/>
        </w:rPr>
        <w:t>.</w:t>
      </w:r>
    </w:p>
    <w:p w:rsidR="000F2F39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  <w:lang w:val="en-US"/>
        </w:rPr>
        <w:t>T</w:t>
      </w:r>
      <w:r w:rsidRPr="007B10DE">
        <w:rPr>
          <w:rFonts w:ascii="Times New Roman" w:hAnsi="Times New Roman"/>
          <w:sz w:val="26"/>
          <w:szCs w:val="26"/>
        </w:rPr>
        <w:t xml:space="preserve"> – период, на который включается хозяйствующий субъект в Схему</w:t>
      </w:r>
      <w:r w:rsidR="00CD38FD">
        <w:rPr>
          <w:rFonts w:ascii="Times New Roman" w:hAnsi="Times New Roman"/>
          <w:sz w:val="26"/>
          <w:szCs w:val="26"/>
        </w:rPr>
        <w:t xml:space="preserve"> </w:t>
      </w:r>
      <w:r w:rsidR="00CD38FD" w:rsidRPr="00CD38FD">
        <w:rPr>
          <w:rFonts w:ascii="Times New Roman" w:hAnsi="Times New Roman"/>
          <w:sz w:val="26"/>
          <w:szCs w:val="26"/>
        </w:rPr>
        <w:t xml:space="preserve">(в </w:t>
      </w:r>
      <w:r w:rsidR="00254DD4">
        <w:rPr>
          <w:rFonts w:ascii="Times New Roman" w:hAnsi="Times New Roman"/>
          <w:sz w:val="26"/>
          <w:szCs w:val="26"/>
        </w:rPr>
        <w:t>календарных днях</w:t>
      </w:r>
      <w:r w:rsidR="00CD38FD" w:rsidRPr="00CD38FD">
        <w:rPr>
          <w:rFonts w:ascii="Times New Roman" w:hAnsi="Times New Roman"/>
          <w:sz w:val="26"/>
          <w:szCs w:val="26"/>
        </w:rPr>
        <w:t>)</w:t>
      </w:r>
      <w:r w:rsidR="00254DD4">
        <w:rPr>
          <w:rFonts w:ascii="Times New Roman" w:hAnsi="Times New Roman"/>
          <w:sz w:val="26"/>
          <w:szCs w:val="26"/>
        </w:rPr>
        <w:t>.</w:t>
      </w:r>
    </w:p>
    <w:p w:rsidR="00120B52" w:rsidRDefault="00120B52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2.3. Среднее значение удельного показателя кадастровой стоимости земельных участков г. Дальнегорск из расчета 4-го вида разрешенного использования устанавливается нормативным правовым актом органа исполнительной власти Администрации Приморского края. </w:t>
      </w:r>
    </w:p>
    <w:p w:rsidR="00254DD4" w:rsidRDefault="00254DD4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5F0ABC">
        <w:rPr>
          <w:rFonts w:ascii="Times New Roman" w:hAnsi="Times New Roman"/>
          <w:sz w:val="26"/>
          <w:szCs w:val="26"/>
        </w:rPr>
        <w:t>Коэффициент н</w:t>
      </w:r>
      <w:r w:rsidRPr="00254DD4">
        <w:rPr>
          <w:rFonts w:ascii="Times New Roman" w:hAnsi="Times New Roman"/>
          <w:sz w:val="26"/>
          <w:szCs w:val="26"/>
        </w:rPr>
        <w:t>акопленн</w:t>
      </w:r>
      <w:r w:rsidR="005F0ABC">
        <w:rPr>
          <w:rFonts w:ascii="Times New Roman" w:hAnsi="Times New Roman"/>
          <w:sz w:val="26"/>
          <w:szCs w:val="26"/>
        </w:rPr>
        <w:t>ой</w:t>
      </w:r>
      <w:r w:rsidRPr="00254DD4">
        <w:rPr>
          <w:rFonts w:ascii="Times New Roman" w:hAnsi="Times New Roman"/>
          <w:sz w:val="26"/>
          <w:szCs w:val="26"/>
        </w:rPr>
        <w:t xml:space="preserve"> инфляци</w:t>
      </w:r>
      <w:r w:rsidR="005F0AB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 w:rsidR="005F0ABC">
        <w:rPr>
          <w:rFonts w:ascii="Times New Roman" w:hAnsi="Times New Roman"/>
          <w:sz w:val="26"/>
          <w:szCs w:val="26"/>
        </w:rPr>
        <w:t>К</w:t>
      </w:r>
      <w:r w:rsidR="005F0ABC">
        <w:rPr>
          <w:rFonts w:ascii="Times New Roman" w:hAnsi="Times New Roman"/>
          <w:sz w:val="26"/>
          <w:szCs w:val="26"/>
          <w:vertAlign w:val="subscript"/>
        </w:rPr>
        <w:t>ни</w:t>
      </w:r>
      <w:r>
        <w:rPr>
          <w:rFonts w:ascii="Times New Roman" w:hAnsi="Times New Roman"/>
          <w:sz w:val="26"/>
          <w:szCs w:val="26"/>
        </w:rPr>
        <w:t>) рассчитывается по формуле:</w:t>
      </w:r>
    </w:p>
    <w:p w:rsidR="00254DD4" w:rsidRDefault="005F0ABC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ABC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ни</w:t>
      </w:r>
      <w:r w:rsidRPr="005F0ABC">
        <w:rPr>
          <w:rFonts w:ascii="Times New Roman" w:hAnsi="Times New Roman"/>
          <w:sz w:val="26"/>
          <w:szCs w:val="26"/>
        </w:rPr>
        <w:t xml:space="preserve"> </w:t>
      </w:r>
      <w:r w:rsidR="00601EA2">
        <w:rPr>
          <w:rFonts w:ascii="Times New Roman" w:hAnsi="Times New Roman"/>
          <w:sz w:val="26"/>
          <w:szCs w:val="26"/>
        </w:rPr>
        <w:t xml:space="preserve">= (1+ </w:t>
      </w:r>
      <w:proofErr w:type="spellStart"/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  <w:vertAlign w:val="subscript"/>
        </w:rPr>
        <w:t>баз</w:t>
      </w:r>
      <w:proofErr w:type="spellEnd"/>
      <w:r w:rsidR="00601EA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х </w:t>
      </w:r>
      <w:r w:rsidR="00601EA2">
        <w:rPr>
          <w:rFonts w:ascii="Times New Roman" w:hAnsi="Times New Roman"/>
          <w:sz w:val="26"/>
          <w:szCs w:val="26"/>
        </w:rPr>
        <w:t>(1+</w:t>
      </w:r>
      <w:r w:rsidR="00601EA2" w:rsidRPr="00601EA2">
        <w:rPr>
          <w:rFonts w:ascii="Times New Roman" w:hAnsi="Times New Roman"/>
          <w:sz w:val="26"/>
          <w:szCs w:val="26"/>
        </w:rPr>
        <w:t xml:space="preserve"> </w:t>
      </w:r>
      <w:r w:rsidRPr="005F0AB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="00601EA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х …, где:</w:t>
      </w:r>
    </w:p>
    <w:p w:rsidR="005F0ABC" w:rsidRDefault="005F0ABC" w:rsidP="005F0A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ABC">
        <w:rPr>
          <w:rFonts w:ascii="Times New Roman" w:hAnsi="Times New Roman"/>
          <w:sz w:val="26"/>
          <w:szCs w:val="26"/>
        </w:rPr>
        <w:t>У</w:t>
      </w:r>
      <w:r w:rsidRPr="005F0ABC">
        <w:rPr>
          <w:rFonts w:ascii="Times New Roman" w:hAnsi="Times New Roman"/>
          <w:sz w:val="26"/>
          <w:szCs w:val="26"/>
          <w:vertAlign w:val="subscript"/>
        </w:rPr>
        <w:t>баз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5F0ABC">
        <w:rPr>
          <w:rFonts w:ascii="Times New Roman" w:hAnsi="Times New Roman"/>
          <w:sz w:val="26"/>
          <w:szCs w:val="26"/>
        </w:rPr>
        <w:t>размер уровня инфляции, установленн</w:t>
      </w:r>
      <w:r w:rsidR="00D53CE7">
        <w:rPr>
          <w:rFonts w:ascii="Times New Roman" w:hAnsi="Times New Roman"/>
          <w:sz w:val="26"/>
          <w:szCs w:val="26"/>
        </w:rPr>
        <w:t>ый</w:t>
      </w:r>
      <w:r w:rsidRPr="005F0ABC">
        <w:rPr>
          <w:rFonts w:ascii="Times New Roman" w:hAnsi="Times New Roman"/>
          <w:sz w:val="26"/>
          <w:szCs w:val="26"/>
        </w:rPr>
        <w:t xml:space="preserve"> в Федеральном законе о Федеральном бюджете на</w:t>
      </w:r>
      <w:r>
        <w:rPr>
          <w:rFonts w:ascii="Times New Roman" w:hAnsi="Times New Roman"/>
          <w:sz w:val="26"/>
          <w:szCs w:val="26"/>
        </w:rPr>
        <w:t xml:space="preserve"> 2020 год</w:t>
      </w:r>
      <w:r w:rsidR="00D53CE7">
        <w:rPr>
          <w:rFonts w:ascii="Times New Roman" w:hAnsi="Times New Roman"/>
          <w:sz w:val="26"/>
          <w:szCs w:val="26"/>
          <w:lang w:eastAsia="ru-RU"/>
        </w:rPr>
        <w:t>;</w:t>
      </w:r>
    </w:p>
    <w:p w:rsidR="00D53CE7" w:rsidRPr="00D53CE7" w:rsidRDefault="00D53CE7" w:rsidP="00D53C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CE7">
        <w:rPr>
          <w:rFonts w:ascii="Times New Roman" w:hAnsi="Times New Roman"/>
          <w:sz w:val="26"/>
          <w:szCs w:val="26"/>
        </w:rPr>
        <w:t>У</w:t>
      </w:r>
      <w:r w:rsidRPr="00D53CE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D53CE7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53CE7">
        <w:rPr>
          <w:rFonts w:ascii="Times New Roman" w:hAnsi="Times New Roman"/>
          <w:sz w:val="26"/>
          <w:szCs w:val="26"/>
        </w:rPr>
        <w:t xml:space="preserve">– размер уровня инфляции, установленный в Федеральном законе о Федеральном бюджете на </w:t>
      </w:r>
      <w:r>
        <w:rPr>
          <w:rFonts w:ascii="Times New Roman" w:hAnsi="Times New Roman"/>
          <w:sz w:val="26"/>
          <w:szCs w:val="26"/>
        </w:rPr>
        <w:t xml:space="preserve">последующие </w:t>
      </w:r>
      <w:r w:rsidRPr="00D53CE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ы</w:t>
      </w:r>
      <w:r w:rsidRPr="00D53CE7">
        <w:rPr>
          <w:rFonts w:ascii="Times New Roman" w:hAnsi="Times New Roman"/>
          <w:sz w:val="26"/>
          <w:szCs w:val="26"/>
        </w:rPr>
        <w:t>, следующи</w:t>
      </w:r>
      <w:r>
        <w:rPr>
          <w:rFonts w:ascii="Times New Roman" w:hAnsi="Times New Roman"/>
          <w:sz w:val="26"/>
          <w:szCs w:val="26"/>
        </w:rPr>
        <w:t>е</w:t>
      </w:r>
      <w:r w:rsidRPr="00D53CE7">
        <w:rPr>
          <w:rFonts w:ascii="Times New Roman" w:hAnsi="Times New Roman"/>
          <w:sz w:val="26"/>
          <w:szCs w:val="26"/>
        </w:rPr>
        <w:t xml:space="preserve"> за базовым</w:t>
      </w:r>
      <w:r>
        <w:rPr>
          <w:rFonts w:ascii="Times New Roman" w:hAnsi="Times New Roman"/>
          <w:sz w:val="26"/>
          <w:szCs w:val="26"/>
        </w:rPr>
        <w:t>.</w:t>
      </w:r>
    </w:p>
    <w:p w:rsidR="00120B52" w:rsidRPr="00601EA2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5</w:t>
      </w:r>
      <w:r w:rsidRPr="00601EA2">
        <w:rPr>
          <w:rFonts w:ascii="Times New Roman" w:hAnsi="Times New Roman"/>
          <w:sz w:val="26"/>
          <w:szCs w:val="26"/>
        </w:rPr>
        <w:t xml:space="preserve">. </w:t>
      </w:r>
      <w:r w:rsidR="00B3663A" w:rsidRPr="00601EA2">
        <w:rPr>
          <w:rFonts w:ascii="Times New Roman" w:hAnsi="Times New Roman"/>
          <w:sz w:val="26"/>
          <w:szCs w:val="26"/>
        </w:rPr>
        <w:t>Коэффициент типа НТО (К</w:t>
      </w:r>
      <w:r w:rsidR="00B3663A" w:rsidRPr="00D53CE7">
        <w:rPr>
          <w:rFonts w:ascii="Times New Roman" w:hAnsi="Times New Roman"/>
          <w:sz w:val="26"/>
          <w:szCs w:val="26"/>
          <w:vertAlign w:val="subscript"/>
        </w:rPr>
        <w:t>тип</w:t>
      </w:r>
      <w:r w:rsidR="00B3663A" w:rsidRPr="00601EA2">
        <w:rPr>
          <w:rFonts w:ascii="Times New Roman" w:hAnsi="Times New Roman"/>
          <w:sz w:val="26"/>
          <w:szCs w:val="26"/>
        </w:rPr>
        <w:t>) применяется в соответствии с приложением № 1 к настоящей Методике</w:t>
      </w:r>
      <w:r w:rsidRPr="00601EA2">
        <w:rPr>
          <w:rFonts w:ascii="Times New Roman" w:hAnsi="Times New Roman"/>
          <w:sz w:val="26"/>
          <w:szCs w:val="26"/>
        </w:rPr>
        <w:t>.</w:t>
      </w:r>
    </w:p>
    <w:p w:rsidR="00120B52" w:rsidRPr="00601EA2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6</w:t>
      </w:r>
      <w:r w:rsidRPr="00601EA2">
        <w:rPr>
          <w:rFonts w:ascii="Times New Roman" w:hAnsi="Times New Roman"/>
          <w:sz w:val="26"/>
          <w:szCs w:val="26"/>
        </w:rPr>
        <w:t>. Коэффициент функционального использования (</w:t>
      </w:r>
      <w:proofErr w:type="spellStart"/>
      <w:r w:rsidRPr="00601EA2">
        <w:rPr>
          <w:rFonts w:ascii="Times New Roman" w:hAnsi="Times New Roman"/>
          <w:sz w:val="26"/>
          <w:szCs w:val="26"/>
        </w:rPr>
        <w:t>К</w:t>
      </w:r>
      <w:r w:rsidRPr="00D53CE7">
        <w:rPr>
          <w:rFonts w:ascii="Times New Roman" w:hAnsi="Times New Roman"/>
          <w:sz w:val="26"/>
          <w:szCs w:val="26"/>
          <w:vertAlign w:val="subscript"/>
        </w:rPr>
        <w:t>фи</w:t>
      </w:r>
      <w:proofErr w:type="spellEnd"/>
      <w:r w:rsidRPr="00601EA2">
        <w:rPr>
          <w:rFonts w:ascii="Times New Roman" w:hAnsi="Times New Roman"/>
          <w:sz w:val="26"/>
          <w:szCs w:val="26"/>
        </w:rPr>
        <w:t xml:space="preserve">) применяется в соответствии с приложением № </w:t>
      </w:r>
      <w:r w:rsidR="00B3663A" w:rsidRPr="00601EA2">
        <w:rPr>
          <w:rFonts w:ascii="Times New Roman" w:hAnsi="Times New Roman"/>
          <w:sz w:val="26"/>
          <w:szCs w:val="26"/>
        </w:rPr>
        <w:t>2</w:t>
      </w:r>
      <w:r w:rsidRPr="00601EA2">
        <w:rPr>
          <w:rFonts w:ascii="Times New Roman" w:hAnsi="Times New Roman"/>
          <w:sz w:val="26"/>
          <w:szCs w:val="26"/>
        </w:rPr>
        <w:t xml:space="preserve"> к настоящей Методике.</w:t>
      </w:r>
    </w:p>
    <w:p w:rsidR="00120B52" w:rsidRPr="00601EA2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7</w:t>
      </w:r>
      <w:r w:rsidRPr="00601EA2">
        <w:rPr>
          <w:rFonts w:ascii="Times New Roman" w:hAnsi="Times New Roman"/>
          <w:sz w:val="26"/>
          <w:szCs w:val="26"/>
        </w:rPr>
        <w:t>. Коэффициент территориального размещения (</w:t>
      </w:r>
      <w:proofErr w:type="spellStart"/>
      <w:r w:rsidRPr="00601EA2">
        <w:rPr>
          <w:rFonts w:ascii="Times New Roman" w:hAnsi="Times New Roman"/>
          <w:sz w:val="26"/>
          <w:szCs w:val="26"/>
        </w:rPr>
        <w:t>К</w:t>
      </w:r>
      <w:r w:rsidRPr="00D53CE7">
        <w:rPr>
          <w:rFonts w:ascii="Times New Roman" w:hAnsi="Times New Roman"/>
          <w:sz w:val="26"/>
          <w:szCs w:val="26"/>
          <w:vertAlign w:val="subscript"/>
        </w:rPr>
        <w:t>т</w:t>
      </w:r>
      <w:proofErr w:type="spellEnd"/>
      <w:r w:rsidRPr="00601EA2">
        <w:rPr>
          <w:rFonts w:ascii="Times New Roman" w:hAnsi="Times New Roman"/>
          <w:sz w:val="26"/>
          <w:szCs w:val="26"/>
        </w:rPr>
        <w:t>) применяется в соответствии с приложен</w:t>
      </w:r>
      <w:r w:rsidR="00B3663A" w:rsidRPr="00601EA2">
        <w:rPr>
          <w:rFonts w:ascii="Times New Roman" w:hAnsi="Times New Roman"/>
          <w:sz w:val="26"/>
          <w:szCs w:val="26"/>
        </w:rPr>
        <w:t>ием № 3</w:t>
      </w:r>
      <w:r w:rsidRPr="00601EA2">
        <w:rPr>
          <w:rFonts w:ascii="Times New Roman" w:hAnsi="Times New Roman"/>
          <w:sz w:val="26"/>
          <w:szCs w:val="26"/>
        </w:rPr>
        <w:t xml:space="preserve"> к настоящей Методике.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8</w:t>
      </w:r>
      <w:r w:rsidRPr="00601EA2">
        <w:rPr>
          <w:rFonts w:ascii="Times New Roman" w:hAnsi="Times New Roman"/>
          <w:sz w:val="26"/>
          <w:szCs w:val="26"/>
        </w:rPr>
        <w:t xml:space="preserve">. В случае заключения </w:t>
      </w:r>
      <w:r w:rsidR="00F46F76" w:rsidRPr="00601EA2">
        <w:rPr>
          <w:rFonts w:ascii="Times New Roman" w:hAnsi="Times New Roman"/>
          <w:sz w:val="26"/>
          <w:szCs w:val="26"/>
        </w:rPr>
        <w:t>д</w:t>
      </w:r>
      <w:r w:rsidRPr="00601EA2">
        <w:rPr>
          <w:rFonts w:ascii="Times New Roman" w:hAnsi="Times New Roman"/>
          <w:sz w:val="26"/>
          <w:szCs w:val="26"/>
        </w:rPr>
        <w:t xml:space="preserve">оговора </w:t>
      </w:r>
      <w:r w:rsidR="00F46F76" w:rsidRPr="00601EA2">
        <w:rPr>
          <w:rFonts w:ascii="Times New Roman" w:hAnsi="Times New Roman"/>
          <w:sz w:val="26"/>
          <w:szCs w:val="26"/>
        </w:rPr>
        <w:t xml:space="preserve">на предоставление права на размещение и эксплуатацию НТО </w:t>
      </w:r>
      <w:r w:rsidR="00487E79" w:rsidRPr="00601EA2">
        <w:rPr>
          <w:rFonts w:ascii="Times New Roman" w:hAnsi="Times New Roman"/>
          <w:sz w:val="26"/>
          <w:szCs w:val="26"/>
        </w:rPr>
        <w:t>сезонной торговли</w:t>
      </w:r>
      <w:r w:rsidR="00487E79">
        <w:rPr>
          <w:rFonts w:ascii="Times New Roman" w:hAnsi="Times New Roman"/>
          <w:sz w:val="26"/>
          <w:szCs w:val="26"/>
        </w:rPr>
        <w:t xml:space="preserve"> </w:t>
      </w:r>
      <w:r w:rsidRPr="007B10DE">
        <w:rPr>
          <w:rFonts w:ascii="Times New Roman" w:hAnsi="Times New Roman"/>
          <w:sz w:val="26"/>
          <w:szCs w:val="26"/>
        </w:rPr>
        <w:t>(далее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>Договор):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- сроком более 15 дней, но менее 1 месяца - плата рассчитывается за 1 месяц;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- сроком менее 15 дней - плата рассчитывается за 1/2 месяца.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2.</w:t>
      </w:r>
      <w:r w:rsidR="00254DD4">
        <w:rPr>
          <w:rFonts w:ascii="Times New Roman" w:hAnsi="Times New Roman"/>
          <w:sz w:val="26"/>
          <w:szCs w:val="26"/>
        </w:rPr>
        <w:t>9</w:t>
      </w:r>
      <w:r w:rsidRPr="007B10DE">
        <w:rPr>
          <w:rFonts w:ascii="Times New Roman" w:hAnsi="Times New Roman"/>
          <w:sz w:val="26"/>
          <w:szCs w:val="26"/>
        </w:rPr>
        <w:t>. Размер платы при заключении Договора определяется: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без проведения аукциона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>в соответствии с пунктом 2.2 настоящей Методики;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по результатам аукциона </w:t>
      </w:r>
      <w:r w:rsidR="00255FB0" w:rsidRPr="00255FB0">
        <w:rPr>
          <w:rFonts w:ascii="Times New Roman" w:hAnsi="Times New Roman"/>
          <w:sz w:val="26"/>
          <w:szCs w:val="26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>протоколом об итогах аукциона.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Начальная (стартовая) цена участия в аукционе является равной размеру платы без проведения аукциона.</w:t>
      </w:r>
    </w:p>
    <w:p w:rsidR="009D12E8" w:rsidRDefault="00120B52" w:rsidP="00D53C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10DE">
        <w:rPr>
          <w:rFonts w:ascii="Times New Roman" w:hAnsi="Times New Roman"/>
          <w:sz w:val="26"/>
          <w:szCs w:val="26"/>
          <w:lang w:eastAsia="ru-RU"/>
        </w:rPr>
        <w:t xml:space="preserve">Плата за размещение НТО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года, </w:t>
      </w:r>
      <w:r w:rsidR="001B251B" w:rsidRPr="002A1117">
        <w:rPr>
          <w:rFonts w:ascii="Times New Roman" w:hAnsi="Times New Roman"/>
          <w:sz w:val="26"/>
          <w:szCs w:val="26"/>
          <w:lang w:eastAsia="ru-RU"/>
        </w:rPr>
        <w:t>и в случаях изменения кадастровой стоимости земельного участка,</w:t>
      </w:r>
      <w:r w:rsidR="001B25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10DE">
        <w:rPr>
          <w:rFonts w:ascii="Times New Roman" w:hAnsi="Times New Roman"/>
          <w:sz w:val="26"/>
          <w:szCs w:val="26"/>
          <w:lang w:eastAsia="ru-RU"/>
        </w:rPr>
        <w:t>о чем заключается дополнительное соглашение между сторонами Договора.</w:t>
      </w:r>
      <w:r w:rsidR="009D12E8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B3663A" w:rsidRPr="007B10DE" w:rsidRDefault="00B3663A" w:rsidP="00B3663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3663A" w:rsidRPr="007B10DE" w:rsidRDefault="00B3663A" w:rsidP="00B3663A">
      <w:pPr>
        <w:pStyle w:val="ConsPlusNormal"/>
        <w:ind w:left="5103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B10DE">
        <w:rPr>
          <w:rFonts w:ascii="Times New Roman" w:hAnsi="Times New Roman" w:cs="Times New Roman"/>
          <w:sz w:val="26"/>
          <w:szCs w:val="26"/>
        </w:rPr>
        <w:t>к</w:t>
      </w:r>
      <w:r w:rsidRPr="007B10DE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7B10DE">
        <w:rPr>
          <w:rFonts w:ascii="Times New Roman" w:eastAsiaTheme="minorHAnsi" w:hAnsi="Times New Roman"/>
          <w:bCs/>
          <w:sz w:val="26"/>
          <w:szCs w:val="26"/>
        </w:rPr>
        <w:t xml:space="preserve">Методике расчета платы </w:t>
      </w:r>
      <w:r w:rsidRPr="007B10DE">
        <w:rPr>
          <w:rFonts w:ascii="Times New Roman" w:hAnsi="Times New Roman"/>
          <w:sz w:val="26"/>
          <w:szCs w:val="26"/>
        </w:rPr>
        <w:t xml:space="preserve">за право включения хозяйствующего субъекта в схему размещения нестационарных торговых объектов на территории Дальнегорского </w:t>
      </w:r>
      <w:r>
        <w:rPr>
          <w:rFonts w:ascii="Times New Roman" w:hAnsi="Times New Roman"/>
          <w:sz w:val="26"/>
          <w:szCs w:val="26"/>
        </w:rPr>
        <w:t>городского о</w:t>
      </w:r>
      <w:r w:rsidRPr="007B10DE">
        <w:rPr>
          <w:rFonts w:ascii="Times New Roman" w:hAnsi="Times New Roman"/>
          <w:sz w:val="26"/>
          <w:szCs w:val="26"/>
        </w:rPr>
        <w:t>круга</w:t>
      </w:r>
    </w:p>
    <w:p w:rsidR="00B3663A" w:rsidRPr="007B10DE" w:rsidRDefault="00B3663A" w:rsidP="00B3663A">
      <w:pPr>
        <w:pStyle w:val="ConsPlusNormal"/>
        <w:ind w:left="6237"/>
        <w:rPr>
          <w:rFonts w:ascii="Times New Roman" w:eastAsiaTheme="minorHAnsi" w:hAnsi="Times New Roman"/>
          <w:bCs/>
          <w:sz w:val="26"/>
          <w:szCs w:val="26"/>
        </w:rPr>
      </w:pPr>
    </w:p>
    <w:p w:rsidR="00B3663A" w:rsidRPr="007B10DE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3663A" w:rsidRPr="007B10DE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3663A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Таблица значений коэффициентов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типа</w:t>
      </w:r>
      <w:r w:rsidRPr="0015140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3663A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нестационарных торговых объектов,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3663A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 xml:space="preserve">размещенных на территории </w:t>
      </w:r>
    </w:p>
    <w:p w:rsidR="007B10DE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</w:p>
    <w:p w:rsidR="00B3663A" w:rsidRDefault="00B3663A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126"/>
      </w:tblGrid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Тип 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нестационарного торгового объекта/площадь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>Значение коэффициента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типа НТО</w:t>
            </w:r>
          </w:p>
          <w:p w:rsidR="0093332B" w:rsidRPr="008F7899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D53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тип</w:t>
            </w:r>
            <w:proofErr w:type="spellEnd"/>
          </w:p>
        </w:tc>
      </w:tr>
      <w:tr w:rsidR="0093332B" w:rsidRPr="00B3663A" w:rsidTr="0093332B">
        <w:trPr>
          <w:trHeight w:val="8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ПАВИЛЬОН (</w:t>
            </w: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 представляющий собой отдельно стоящее строение (часть строения)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замкнутым пространством, имеющее торговый зал и рассчитанное на одно или несколько рабочих мест продавцов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8F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8F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601EA2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01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8F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8F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601EA2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</w:t>
            </w:r>
            <w:r w:rsidR="00601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601EA2" w:rsidRDefault="00601EA2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</w:tr>
      <w:tr w:rsidR="0093332B" w:rsidRPr="00B3663A" w:rsidTr="0093332B">
        <w:trPr>
          <w:trHeight w:val="68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(</w:t>
            </w: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НТО, представляющий собой сооружение без торгового зала с замкнутым пространством, внутри которого оборудовано одно рабочее место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</w:t>
            </w: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3332B" w:rsidRPr="00B3663A" w:rsidTr="0093332B">
        <w:trPr>
          <w:trHeight w:val="69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ПЕРЕДВИЖНОЙ ТОРГОВЛИ (автомагазин (торговый автофургон, автолавка</w:t>
            </w:r>
            <w:r w:rsidR="008F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прицеп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полуприцеп)),</w:t>
            </w:r>
            <w:r w:rsidR="008F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сезонная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93332B" w:rsidRPr="00B3663A" w:rsidTr="0093332B">
        <w:trPr>
          <w:trHeight w:val="19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ЛОТОК</w:t>
            </w: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(ПАЛАТКА)</w:t>
            </w: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НТО, представляющий собой оснащенную прилавком легковозводимую сборно-разборную конструкцию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8F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сезонная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</w:tbl>
    <w:p w:rsidR="00B3663A" w:rsidRPr="00B3663A" w:rsidRDefault="00B3663A" w:rsidP="00B366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3A" w:rsidRDefault="00B3663A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B3663A" w:rsidRDefault="00B3663A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10DE" w:rsidRPr="007B10DE" w:rsidRDefault="00B3663A" w:rsidP="0040051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7B10DE" w:rsidRPr="007B10DE" w:rsidRDefault="007B10DE" w:rsidP="0040051A">
      <w:pPr>
        <w:pStyle w:val="ConsPlusNormal"/>
        <w:ind w:left="5103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B10DE">
        <w:rPr>
          <w:rFonts w:ascii="Times New Roman" w:hAnsi="Times New Roman" w:cs="Times New Roman"/>
          <w:sz w:val="26"/>
          <w:szCs w:val="26"/>
        </w:rPr>
        <w:t>к</w:t>
      </w:r>
      <w:r w:rsidRPr="007B10DE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7B10DE">
        <w:rPr>
          <w:rFonts w:ascii="Times New Roman" w:eastAsiaTheme="minorHAnsi" w:hAnsi="Times New Roman"/>
          <w:bCs/>
          <w:sz w:val="26"/>
          <w:szCs w:val="26"/>
        </w:rPr>
        <w:t xml:space="preserve">Методике расчета платы </w:t>
      </w:r>
      <w:r w:rsidRPr="007B10DE">
        <w:rPr>
          <w:rFonts w:ascii="Times New Roman" w:hAnsi="Times New Roman"/>
          <w:sz w:val="26"/>
          <w:szCs w:val="26"/>
        </w:rPr>
        <w:t xml:space="preserve">за право включения хозяйствующего субъекта в схему размещения нестационарных торговых объектов на территории Дальнегорского </w:t>
      </w:r>
      <w:r>
        <w:rPr>
          <w:rFonts w:ascii="Times New Roman" w:hAnsi="Times New Roman"/>
          <w:sz w:val="26"/>
          <w:szCs w:val="26"/>
        </w:rPr>
        <w:t>городского о</w:t>
      </w:r>
      <w:r w:rsidRPr="007B10DE">
        <w:rPr>
          <w:rFonts w:ascii="Times New Roman" w:hAnsi="Times New Roman"/>
          <w:sz w:val="26"/>
          <w:szCs w:val="26"/>
        </w:rPr>
        <w:t>круга</w:t>
      </w:r>
    </w:p>
    <w:p w:rsidR="007B10DE" w:rsidRPr="007B10DE" w:rsidRDefault="007B10DE" w:rsidP="007B10DE">
      <w:pPr>
        <w:pStyle w:val="ConsPlusNormal"/>
        <w:ind w:left="6237"/>
        <w:rPr>
          <w:rFonts w:ascii="Times New Roman" w:eastAsiaTheme="minorHAnsi" w:hAnsi="Times New Roman"/>
          <w:bCs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Таблица значений коэффициентов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функционального использования</w:t>
      </w:r>
      <w:r w:rsidRPr="0015140C">
        <w:rPr>
          <w:rFonts w:ascii="Times New Roman" w:hAnsi="Times New Roman"/>
          <w:b/>
          <w:bCs/>
          <w:sz w:val="26"/>
          <w:szCs w:val="26"/>
        </w:rPr>
        <w:t xml:space="preserve"> нестационарных торговых объектов,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размещенных на территории Дальнегорского городского округа</w:t>
      </w: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65A2B" w:rsidTr="00A65A2B">
        <w:tc>
          <w:tcPr>
            <w:tcW w:w="6799" w:type="dxa"/>
            <w:vAlign w:val="center"/>
          </w:tcPr>
          <w:p w:rsidR="00A65A2B" w:rsidRPr="007B10DE" w:rsidRDefault="00A65A2B" w:rsidP="00A65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 xml:space="preserve">Виды функционального использования </w:t>
            </w:r>
            <w:r w:rsidRPr="007B10DE">
              <w:rPr>
                <w:rFonts w:ascii="Times New Roman" w:hAnsi="Times New Roman"/>
                <w:bCs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2546" w:type="dxa"/>
            <w:vAlign w:val="center"/>
          </w:tcPr>
          <w:p w:rsidR="00A65A2B" w:rsidRPr="007B10DE" w:rsidRDefault="00A65A2B" w:rsidP="00A65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>Значение коэффициента функционального использования (</w:t>
            </w:r>
            <w:proofErr w:type="spellStart"/>
            <w:r w:rsidRPr="007B10DE">
              <w:rPr>
                <w:rFonts w:ascii="Times New Roman" w:hAnsi="Times New Roman"/>
                <w:sz w:val="26"/>
                <w:szCs w:val="26"/>
              </w:rPr>
              <w:t>К</w:t>
            </w:r>
            <w:r w:rsidRPr="00D53CE7">
              <w:rPr>
                <w:rFonts w:ascii="Times New Roman" w:hAnsi="Times New Roman"/>
                <w:sz w:val="26"/>
                <w:szCs w:val="26"/>
                <w:vertAlign w:val="subscript"/>
              </w:rPr>
              <w:t>фи</w:t>
            </w:r>
            <w:proofErr w:type="spellEnd"/>
            <w:r w:rsidRPr="007B10D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A2B" w:rsidTr="00A65A2B">
        <w:tc>
          <w:tcPr>
            <w:tcW w:w="6799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Павильоны (киоски) по продаже хлеба и хлебобулочных изделий</w:t>
            </w:r>
          </w:p>
        </w:tc>
        <w:tc>
          <w:tcPr>
            <w:tcW w:w="2546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A5D71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A65A2B" w:rsidTr="00A65A2B">
        <w:tc>
          <w:tcPr>
            <w:tcW w:w="6799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Киоски по продаже печатной продукции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5A2B" w:rsidTr="00A65A2B">
        <w:tc>
          <w:tcPr>
            <w:tcW w:w="6799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Павильоны (киоски) по продаже сельскохозяйственной продукцией реализующих самостоятельно крестьянскими фермерскими хозяйствами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A65A2B" w:rsidTr="00A65A2B">
        <w:tc>
          <w:tcPr>
            <w:tcW w:w="6799" w:type="dxa"/>
          </w:tcPr>
          <w:p w:rsidR="00A65A2B" w:rsidRDefault="008F7899" w:rsidP="00601E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Павильоны</w:t>
            </w:r>
            <w:r w:rsidR="00601EA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киоски</w:t>
            </w:r>
            <w:r>
              <w:rPr>
                <w:rFonts w:ascii="Times New Roman" w:hAnsi="Times New Roman"/>
                <w:sz w:val="26"/>
                <w:szCs w:val="26"/>
              </w:rPr>
              <w:t>, торговы</w:t>
            </w:r>
            <w:r w:rsidR="00601EA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прицеп</w:t>
            </w:r>
            <w:r w:rsidR="00601EA2">
              <w:rPr>
                <w:rFonts w:ascii="Times New Roman" w:hAnsi="Times New Roman"/>
                <w:sz w:val="26"/>
                <w:szCs w:val="26"/>
              </w:rPr>
              <w:t>ы)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 xml:space="preserve"> по реализаци</w:t>
            </w:r>
            <w:r w:rsidR="00A65A2B">
              <w:rPr>
                <w:rFonts w:ascii="Times New Roman" w:hAnsi="Times New Roman"/>
                <w:sz w:val="26"/>
                <w:szCs w:val="26"/>
              </w:rPr>
              <w:t>и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 xml:space="preserve"> продукции собственного производства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A65A2B" w:rsidTr="00A65A2B">
        <w:tc>
          <w:tcPr>
            <w:tcW w:w="6799" w:type="dxa"/>
          </w:tcPr>
          <w:p w:rsidR="00A65A2B" w:rsidRPr="00A65A2B" w:rsidRDefault="00196645" w:rsidP="001966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авильон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8F7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(киоск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реализации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 xml:space="preserve"> продовольственных, непродовольственных товаров</w:t>
            </w:r>
          </w:p>
        </w:tc>
        <w:tc>
          <w:tcPr>
            <w:tcW w:w="2546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5A2B" w:rsidTr="00A65A2B">
        <w:tc>
          <w:tcPr>
            <w:tcW w:w="6799" w:type="dxa"/>
          </w:tcPr>
          <w:p w:rsidR="00A65A2B" w:rsidRP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Розничная торговля с лотков, автолавок, палаток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65A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65A2B">
              <w:rPr>
                <w:rFonts w:ascii="Times New Roman" w:hAnsi="Times New Roman"/>
                <w:sz w:val="26"/>
                <w:szCs w:val="26"/>
              </w:rPr>
              <w:t>автокафе</w:t>
            </w:r>
            <w:proofErr w:type="spellEnd"/>
            <w:r w:rsidRPr="00A65A2B">
              <w:rPr>
                <w:rFonts w:ascii="Times New Roman" w:hAnsi="Times New Roman"/>
                <w:sz w:val="26"/>
                <w:szCs w:val="26"/>
              </w:rPr>
              <w:t>, торговых автоматах, изотермических ёмкостях (</w:t>
            </w:r>
            <w:r w:rsidR="008F7899">
              <w:rPr>
                <w:rFonts w:ascii="Times New Roman" w:hAnsi="Times New Roman"/>
                <w:sz w:val="26"/>
                <w:szCs w:val="26"/>
              </w:rPr>
              <w:t xml:space="preserve">бахча, </w:t>
            </w:r>
            <w:r w:rsidRPr="00A65A2B">
              <w:rPr>
                <w:rFonts w:ascii="Times New Roman" w:hAnsi="Times New Roman"/>
                <w:sz w:val="26"/>
                <w:szCs w:val="26"/>
              </w:rPr>
              <w:t>хв</w:t>
            </w:r>
            <w:r w:rsidR="008F7899">
              <w:rPr>
                <w:rFonts w:ascii="Times New Roman" w:hAnsi="Times New Roman"/>
                <w:sz w:val="26"/>
                <w:szCs w:val="26"/>
              </w:rPr>
              <w:t xml:space="preserve">ойные деревья, цветы, мороженое </w:t>
            </w:r>
            <w:r w:rsidRPr="00A65A2B">
              <w:rPr>
                <w:rFonts w:ascii="Times New Roman" w:hAnsi="Times New Roman"/>
                <w:sz w:val="26"/>
                <w:szCs w:val="26"/>
              </w:rPr>
              <w:t>и т.д.)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A65A2B" w:rsidRDefault="00A65A2B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Default="007B10DE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182ED4" w:rsidRDefault="00182ED4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182ED4" w:rsidRDefault="00182ED4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182ED4" w:rsidRDefault="00182ED4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D53CE7" w:rsidRDefault="00D53CE7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7B10DE" w:rsidRPr="007B10DE" w:rsidRDefault="009F246A" w:rsidP="0040051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3663A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7B10DE" w:rsidRPr="007B10DE" w:rsidRDefault="007B10DE" w:rsidP="0040051A">
      <w:pPr>
        <w:pStyle w:val="ConsPlusNormal"/>
        <w:ind w:left="5103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B10DE">
        <w:rPr>
          <w:rFonts w:ascii="Times New Roman" w:hAnsi="Times New Roman" w:cs="Times New Roman"/>
          <w:sz w:val="26"/>
          <w:szCs w:val="26"/>
        </w:rPr>
        <w:t>к</w:t>
      </w:r>
      <w:r w:rsidRPr="007B10DE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7B10DE">
        <w:rPr>
          <w:rFonts w:ascii="Times New Roman" w:eastAsiaTheme="minorHAnsi" w:hAnsi="Times New Roman"/>
          <w:bCs/>
          <w:sz w:val="26"/>
          <w:szCs w:val="26"/>
        </w:rPr>
        <w:t xml:space="preserve">Методике расчета платы </w:t>
      </w:r>
      <w:r w:rsidRPr="007B10DE">
        <w:rPr>
          <w:rFonts w:ascii="Times New Roman" w:hAnsi="Times New Roman"/>
          <w:sz w:val="26"/>
          <w:szCs w:val="26"/>
        </w:rPr>
        <w:t xml:space="preserve">за право включения хозяйствующего субъекта в схему размещения нестационарных торговых объектов на территории </w:t>
      </w:r>
      <w:r w:rsidR="009F246A">
        <w:rPr>
          <w:rFonts w:ascii="Times New Roman" w:hAnsi="Times New Roman"/>
          <w:sz w:val="26"/>
          <w:szCs w:val="26"/>
        </w:rPr>
        <w:t xml:space="preserve">Дальнегорского городского </w:t>
      </w:r>
      <w:r w:rsidRPr="007B10DE">
        <w:rPr>
          <w:rFonts w:ascii="Times New Roman" w:hAnsi="Times New Roman"/>
          <w:sz w:val="26"/>
          <w:szCs w:val="26"/>
        </w:rPr>
        <w:t>округа</w:t>
      </w: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Таблица значений коэффициентов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территориального размещения </w:t>
      </w:r>
      <w:r w:rsidRPr="0015140C">
        <w:rPr>
          <w:rFonts w:ascii="Times New Roman" w:hAnsi="Times New Roman"/>
          <w:b/>
          <w:bCs/>
          <w:sz w:val="26"/>
          <w:szCs w:val="26"/>
        </w:rPr>
        <w:t>нестационарных торговых объектов,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размещенных на территории Дальнегорского городского округа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7"/>
        <w:gridCol w:w="3308"/>
      </w:tblGrid>
      <w:tr w:rsidR="007B10DE" w:rsidRPr="007B10DE" w:rsidTr="00196645">
        <w:trPr>
          <w:trHeight w:val="1044"/>
        </w:trPr>
        <w:tc>
          <w:tcPr>
            <w:tcW w:w="6037" w:type="dxa"/>
            <w:vAlign w:val="center"/>
          </w:tcPr>
          <w:p w:rsidR="007B10DE" w:rsidRPr="007B10DE" w:rsidRDefault="007B10DE" w:rsidP="005C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 xml:space="preserve">Виды территориального размещения </w:t>
            </w:r>
            <w:r w:rsidRPr="007B10DE">
              <w:rPr>
                <w:rFonts w:ascii="Times New Roman" w:hAnsi="Times New Roman"/>
                <w:bCs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3308" w:type="dxa"/>
            <w:vAlign w:val="center"/>
          </w:tcPr>
          <w:p w:rsidR="007B10DE" w:rsidRPr="007B10DE" w:rsidRDefault="007B10DE" w:rsidP="00D7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 xml:space="preserve">Значение коэффициента </w:t>
            </w:r>
            <w:r w:rsidR="00D7744B" w:rsidRPr="00D7744B">
              <w:rPr>
                <w:rFonts w:ascii="Times New Roman" w:hAnsi="Times New Roman"/>
                <w:sz w:val="26"/>
                <w:szCs w:val="26"/>
              </w:rPr>
              <w:t xml:space="preserve">территориального размещения НТО </w:t>
            </w:r>
            <w:r w:rsidRPr="007B10D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B10DE">
              <w:rPr>
                <w:rFonts w:ascii="Times New Roman" w:hAnsi="Times New Roman"/>
                <w:sz w:val="26"/>
                <w:szCs w:val="26"/>
              </w:rPr>
              <w:t>К</w:t>
            </w:r>
            <w:r w:rsidRPr="00D53CE7">
              <w:rPr>
                <w:rFonts w:ascii="Times New Roman" w:hAnsi="Times New Roman"/>
                <w:sz w:val="26"/>
                <w:szCs w:val="26"/>
                <w:vertAlign w:val="subscript"/>
              </w:rPr>
              <w:t>т</w:t>
            </w:r>
            <w:proofErr w:type="spellEnd"/>
            <w:r w:rsidRPr="007B10D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B10DE" w:rsidRPr="007B10DE" w:rsidTr="00196645">
        <w:tc>
          <w:tcPr>
            <w:tcW w:w="6037" w:type="dxa"/>
          </w:tcPr>
          <w:p w:rsidR="00D7744B" w:rsidRDefault="007B10DE" w:rsidP="00D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D77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Дальнегорск</w:t>
            </w:r>
            <w:r w:rsidR="00D774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7744B" w:rsidRDefault="00D7744B" w:rsidP="00D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четной стороне с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проспекта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 xml:space="preserve"> 50 лет Октября</w:t>
            </w:r>
            <w:r>
              <w:rPr>
                <w:rFonts w:ascii="Times New Roman" w:hAnsi="Times New Roman"/>
                <w:sz w:val="26"/>
                <w:szCs w:val="26"/>
              </w:rPr>
              <w:t>, д. 2 до проспекта 50 лет Октября, д. 228;</w:t>
            </w:r>
          </w:p>
          <w:p w:rsidR="0015140C" w:rsidRDefault="00D7744B" w:rsidP="00F74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нечетной стороне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 xml:space="preserve"> 50 лет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B10DE" w:rsidRPr="007B10DE" w:rsidRDefault="00D7744B" w:rsidP="00F74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1 до проспекта 50 лет Октября, д. 245.</w:t>
            </w:r>
          </w:p>
        </w:tc>
        <w:tc>
          <w:tcPr>
            <w:tcW w:w="3308" w:type="dxa"/>
            <w:vAlign w:val="center"/>
          </w:tcPr>
          <w:p w:rsidR="007B10DE" w:rsidRPr="007B10DE" w:rsidRDefault="00196645" w:rsidP="00196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7B10DE" w:rsidRPr="007B10DE" w:rsidTr="00196645">
        <w:trPr>
          <w:trHeight w:val="301"/>
        </w:trPr>
        <w:tc>
          <w:tcPr>
            <w:tcW w:w="6037" w:type="dxa"/>
          </w:tcPr>
          <w:p w:rsidR="007B10DE" w:rsidRPr="007B10DE" w:rsidRDefault="009F246A" w:rsidP="009F2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микрорайоны «Горбуша»,</w:t>
            </w:r>
            <w:r w:rsidR="00D77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«Горького»</w:t>
            </w:r>
            <w:r w:rsidR="00196645">
              <w:rPr>
                <w:rFonts w:ascii="Times New Roman" w:hAnsi="Times New Roman"/>
                <w:sz w:val="26"/>
                <w:szCs w:val="26"/>
              </w:rPr>
              <w:t>, «Горелое»</w:t>
            </w:r>
          </w:p>
        </w:tc>
        <w:tc>
          <w:tcPr>
            <w:tcW w:w="3308" w:type="dxa"/>
            <w:vAlign w:val="center"/>
          </w:tcPr>
          <w:p w:rsidR="007B10DE" w:rsidRPr="007B10DE" w:rsidRDefault="00196645" w:rsidP="009F2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9F246A" w:rsidRPr="007B10DE" w:rsidTr="00196645">
        <w:tc>
          <w:tcPr>
            <w:tcW w:w="6037" w:type="dxa"/>
          </w:tcPr>
          <w:p w:rsidR="009F246A" w:rsidRDefault="009F246A" w:rsidP="005C7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с.Сержантово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с.Рудная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Пристань,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с.Каменка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с.Мономахово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с.Краснореченский</w:t>
            </w:r>
            <w:proofErr w:type="spellEnd"/>
          </w:p>
        </w:tc>
        <w:tc>
          <w:tcPr>
            <w:tcW w:w="3308" w:type="dxa"/>
            <w:vAlign w:val="center"/>
          </w:tcPr>
          <w:p w:rsidR="009F246A" w:rsidRPr="007B10DE" w:rsidRDefault="00D7744B" w:rsidP="005C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</w:tbl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10DE" w:rsidRPr="007B10DE" w:rsidRDefault="007B10DE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B10DE" w:rsidRPr="007B10DE" w:rsidSect="009335A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A4" w:rsidRDefault="009622A4" w:rsidP="009335AB">
      <w:pPr>
        <w:spacing w:after="0" w:line="240" w:lineRule="auto"/>
      </w:pPr>
      <w:r>
        <w:separator/>
      </w:r>
    </w:p>
  </w:endnote>
  <w:endnote w:type="continuationSeparator" w:id="0">
    <w:p w:rsidR="009622A4" w:rsidRDefault="009622A4" w:rsidP="009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A4" w:rsidRDefault="009622A4" w:rsidP="009335AB">
      <w:pPr>
        <w:spacing w:after="0" w:line="240" w:lineRule="auto"/>
      </w:pPr>
      <w:r>
        <w:separator/>
      </w:r>
    </w:p>
  </w:footnote>
  <w:footnote w:type="continuationSeparator" w:id="0">
    <w:p w:rsidR="009622A4" w:rsidRDefault="009622A4" w:rsidP="009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708887"/>
      <w:docPartObj>
        <w:docPartGallery w:val="Page Numbers (Top of Page)"/>
        <w:docPartUnique/>
      </w:docPartObj>
    </w:sdtPr>
    <w:sdtEndPr/>
    <w:sdtContent>
      <w:p w:rsidR="009335AB" w:rsidRDefault="006668D8">
        <w:pPr>
          <w:pStyle w:val="a7"/>
          <w:jc w:val="center"/>
        </w:pPr>
        <w:r>
          <w:fldChar w:fldCharType="begin"/>
        </w:r>
        <w:r w:rsidR="009335AB">
          <w:instrText>PAGE   \* MERGEFORMAT</w:instrText>
        </w:r>
        <w:r>
          <w:fldChar w:fldCharType="separate"/>
        </w:r>
        <w:r w:rsidR="00027E5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660"/>
    <w:multiLevelType w:val="hybridMultilevel"/>
    <w:tmpl w:val="06DCA134"/>
    <w:lvl w:ilvl="0" w:tplc="83E8D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234D1"/>
    <w:multiLevelType w:val="hybridMultilevel"/>
    <w:tmpl w:val="96F6F156"/>
    <w:lvl w:ilvl="0" w:tplc="A7B2CE52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73"/>
    <w:rsid w:val="00027E57"/>
    <w:rsid w:val="0005480F"/>
    <w:rsid w:val="00071DD7"/>
    <w:rsid w:val="00090085"/>
    <w:rsid w:val="000A6142"/>
    <w:rsid w:val="000B3383"/>
    <w:rsid w:val="000C05B1"/>
    <w:rsid w:val="000C3027"/>
    <w:rsid w:val="000F08CD"/>
    <w:rsid w:val="000F2F39"/>
    <w:rsid w:val="001026B2"/>
    <w:rsid w:val="00120B52"/>
    <w:rsid w:val="0015140C"/>
    <w:rsid w:val="00171998"/>
    <w:rsid w:val="00182ED4"/>
    <w:rsid w:val="001912F3"/>
    <w:rsid w:val="001931D2"/>
    <w:rsid w:val="00196645"/>
    <w:rsid w:val="001A1339"/>
    <w:rsid w:val="001B251B"/>
    <w:rsid w:val="001D3CD1"/>
    <w:rsid w:val="00204134"/>
    <w:rsid w:val="00232220"/>
    <w:rsid w:val="00254DD4"/>
    <w:rsid w:val="00255FB0"/>
    <w:rsid w:val="00260588"/>
    <w:rsid w:val="00260D26"/>
    <w:rsid w:val="002A1117"/>
    <w:rsid w:val="002B0611"/>
    <w:rsid w:val="002C2275"/>
    <w:rsid w:val="002C4FBB"/>
    <w:rsid w:val="00346904"/>
    <w:rsid w:val="003569F9"/>
    <w:rsid w:val="0038799D"/>
    <w:rsid w:val="003A542B"/>
    <w:rsid w:val="003B3D89"/>
    <w:rsid w:val="003B594F"/>
    <w:rsid w:val="003B5A6F"/>
    <w:rsid w:val="003C26C9"/>
    <w:rsid w:val="003D7168"/>
    <w:rsid w:val="003E60CE"/>
    <w:rsid w:val="003F0480"/>
    <w:rsid w:val="003F7F46"/>
    <w:rsid w:val="0040051A"/>
    <w:rsid w:val="00406019"/>
    <w:rsid w:val="00432874"/>
    <w:rsid w:val="00466591"/>
    <w:rsid w:val="004755E7"/>
    <w:rsid w:val="00487E79"/>
    <w:rsid w:val="004C2F90"/>
    <w:rsid w:val="004C750B"/>
    <w:rsid w:val="004D2096"/>
    <w:rsid w:val="004D66BB"/>
    <w:rsid w:val="004E2614"/>
    <w:rsid w:val="004F38E8"/>
    <w:rsid w:val="00542BF8"/>
    <w:rsid w:val="0056201C"/>
    <w:rsid w:val="00566E3F"/>
    <w:rsid w:val="005847E5"/>
    <w:rsid w:val="005B7FF5"/>
    <w:rsid w:val="005F0ABC"/>
    <w:rsid w:val="00601EA2"/>
    <w:rsid w:val="00603A5F"/>
    <w:rsid w:val="00614D97"/>
    <w:rsid w:val="006150AB"/>
    <w:rsid w:val="006358FA"/>
    <w:rsid w:val="00645414"/>
    <w:rsid w:val="006607EB"/>
    <w:rsid w:val="006668D8"/>
    <w:rsid w:val="00675B7E"/>
    <w:rsid w:val="00694A50"/>
    <w:rsid w:val="006A5D71"/>
    <w:rsid w:val="006D767C"/>
    <w:rsid w:val="00741D0A"/>
    <w:rsid w:val="00792BC2"/>
    <w:rsid w:val="007976B2"/>
    <w:rsid w:val="007A48EB"/>
    <w:rsid w:val="007B10DE"/>
    <w:rsid w:val="007E7E76"/>
    <w:rsid w:val="007F248A"/>
    <w:rsid w:val="00871DA5"/>
    <w:rsid w:val="00877750"/>
    <w:rsid w:val="008B351E"/>
    <w:rsid w:val="008C196C"/>
    <w:rsid w:val="008E5DA1"/>
    <w:rsid w:val="008F626C"/>
    <w:rsid w:val="008F7899"/>
    <w:rsid w:val="0093332B"/>
    <w:rsid w:val="009335AB"/>
    <w:rsid w:val="009622A4"/>
    <w:rsid w:val="00970954"/>
    <w:rsid w:val="00976122"/>
    <w:rsid w:val="009847DB"/>
    <w:rsid w:val="00994F2D"/>
    <w:rsid w:val="009A4247"/>
    <w:rsid w:val="009A7320"/>
    <w:rsid w:val="009D12E8"/>
    <w:rsid w:val="009F246A"/>
    <w:rsid w:val="00A0134D"/>
    <w:rsid w:val="00A13B9F"/>
    <w:rsid w:val="00A16CB1"/>
    <w:rsid w:val="00A65A2B"/>
    <w:rsid w:val="00A91122"/>
    <w:rsid w:val="00AC30FC"/>
    <w:rsid w:val="00B3663A"/>
    <w:rsid w:val="00B55CC9"/>
    <w:rsid w:val="00B600E6"/>
    <w:rsid w:val="00B602CB"/>
    <w:rsid w:val="00B932CA"/>
    <w:rsid w:val="00B94D42"/>
    <w:rsid w:val="00B964C6"/>
    <w:rsid w:val="00C21773"/>
    <w:rsid w:val="00C30582"/>
    <w:rsid w:val="00C6327A"/>
    <w:rsid w:val="00C867A8"/>
    <w:rsid w:val="00CA2253"/>
    <w:rsid w:val="00CB7296"/>
    <w:rsid w:val="00CD38FD"/>
    <w:rsid w:val="00D065D3"/>
    <w:rsid w:val="00D53CE7"/>
    <w:rsid w:val="00D61E7A"/>
    <w:rsid w:val="00D7744B"/>
    <w:rsid w:val="00DC5331"/>
    <w:rsid w:val="00DC5D9A"/>
    <w:rsid w:val="00DE00F6"/>
    <w:rsid w:val="00DF0E78"/>
    <w:rsid w:val="00E104F3"/>
    <w:rsid w:val="00E44130"/>
    <w:rsid w:val="00E5082F"/>
    <w:rsid w:val="00E51C4F"/>
    <w:rsid w:val="00E86E3E"/>
    <w:rsid w:val="00EA0142"/>
    <w:rsid w:val="00EB3269"/>
    <w:rsid w:val="00EC34C6"/>
    <w:rsid w:val="00EC3FBC"/>
    <w:rsid w:val="00EE6ACA"/>
    <w:rsid w:val="00F20227"/>
    <w:rsid w:val="00F3479D"/>
    <w:rsid w:val="00F46F76"/>
    <w:rsid w:val="00F66C9F"/>
    <w:rsid w:val="00F74987"/>
    <w:rsid w:val="00FB18F5"/>
    <w:rsid w:val="00FD4920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F2CEC-9A30-4E4B-A2EA-FD54BEC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5AB"/>
  </w:style>
  <w:style w:type="paragraph" w:styleId="a9">
    <w:name w:val="footer"/>
    <w:basedOn w:val="a"/>
    <w:link w:val="aa"/>
    <w:uiPriority w:val="99"/>
    <w:unhideWhenUsed/>
    <w:rsid w:val="009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5AB"/>
  </w:style>
  <w:style w:type="paragraph" w:styleId="ab">
    <w:name w:val="No Spacing"/>
    <w:uiPriority w:val="1"/>
    <w:qFormat/>
    <w:rsid w:val="00FF0FAD"/>
    <w:pPr>
      <w:spacing w:after="0" w:line="240" w:lineRule="auto"/>
    </w:pPr>
  </w:style>
  <w:style w:type="paragraph" w:customStyle="1" w:styleId="ConsPlusNormal">
    <w:name w:val="ConsPlusNormal"/>
    <w:rsid w:val="007B1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Осипова Елена Владимировна</cp:lastModifiedBy>
  <cp:revision>11</cp:revision>
  <cp:lastPrinted>2023-03-13T06:27:00Z</cp:lastPrinted>
  <dcterms:created xsi:type="dcterms:W3CDTF">2023-01-31T06:18:00Z</dcterms:created>
  <dcterms:modified xsi:type="dcterms:W3CDTF">2023-03-13T06:43:00Z</dcterms:modified>
</cp:coreProperties>
</file>