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3977"/>
        <w:gridCol w:w="1761"/>
        <w:gridCol w:w="1761"/>
        <w:gridCol w:w="1761"/>
      </w:tblGrid>
      <w:tr w:rsidR="00554192" w:rsidRPr="00554192" w:rsidTr="00554192">
        <w:trPr>
          <w:trHeight w:val="49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Прогноз основных характеристик бюджета Дальнегорского городского округа </w:t>
            </w:r>
            <w:r w:rsidRPr="005541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2024 год и плановый период 2025 и 2026 годов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Общий объём доходов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1 997 729 759,70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1 844 111 380,17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1 934 841 347,79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налоговые доходы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923 238 200,00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803 300 200,00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865 216 200,00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50 634 155,00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49 498 759,00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49 818 722,00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1 023 857 404,70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991 312 421,17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1 019 806 425,79</w:t>
            </w:r>
          </w:p>
        </w:tc>
        <w:bookmarkStart w:id="0" w:name="_GoBack"/>
        <w:bookmarkEnd w:id="0"/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Общий объём расходов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1 997 729 759,70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1 844 111 380,17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1 934 841 347,79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в том числе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973 872 355,00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852 798 959,00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915 034 922,00</w:t>
            </w:r>
          </w:p>
        </w:tc>
      </w:tr>
      <w:tr w:rsidR="00554192" w:rsidRPr="00554192" w:rsidTr="00554192">
        <w:trPr>
          <w:trHeight w:val="480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счет средств бюджетов других уровней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1 023 857 404,70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991 312 421,17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1 019 806 425,79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Дефицит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0,00</w:t>
            </w: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19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5905500" cy="3228975"/>
                  <wp:effectExtent l="0" t="0" r="0" b="9525"/>
                  <wp:wrapNone/>
                  <wp:docPr id="14840396" name="Диаграмма 14840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192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3390900</wp:posOffset>
                  </wp:positionV>
                  <wp:extent cx="5895975" cy="2924175"/>
                  <wp:effectExtent l="38100" t="57150" r="47625" b="47625"/>
                  <wp:wrapNone/>
                  <wp:docPr id="14840397" name="Диаграмма 14840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554192" w:rsidRPr="00554192">
              <w:trPr>
                <w:trHeight w:val="25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192" w:rsidRPr="00554192" w:rsidRDefault="00554192" w:rsidP="0055419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4192" w:rsidRPr="00554192" w:rsidRDefault="00554192" w:rsidP="00554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6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192" w:rsidRPr="00554192" w:rsidTr="00554192">
        <w:trPr>
          <w:trHeight w:val="255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92" w:rsidRPr="00554192" w:rsidRDefault="00554192" w:rsidP="0055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B46" w:rsidRDefault="00A61B46" w:rsidP="00356B6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1B46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0E247E"/>
    <w:rsid w:val="00164D70"/>
    <w:rsid w:val="00225D83"/>
    <w:rsid w:val="00345052"/>
    <w:rsid w:val="00356B64"/>
    <w:rsid w:val="00554192"/>
    <w:rsid w:val="00651263"/>
    <w:rsid w:val="006C4FA7"/>
    <w:rsid w:val="007C66D6"/>
    <w:rsid w:val="00826F8F"/>
    <w:rsid w:val="00871346"/>
    <w:rsid w:val="00892F82"/>
    <w:rsid w:val="009549D3"/>
    <w:rsid w:val="009B4468"/>
    <w:rsid w:val="009B7951"/>
    <w:rsid w:val="00A61B46"/>
    <w:rsid w:val="00BF5827"/>
    <w:rsid w:val="00E47DA4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70;&#1056;&#1063;&#1045;&#1053;&#1050;&#1054;%20&#1048;.&#1070;\&#1056;&#1040;&#1041;&#1054;&#1063;&#1040;&#1071;%20&#1044;&#1054;&#1050;&#1059;&#1052;&#1045;&#1053;&#1058;&#1040;&#1062;&#1048;&#1071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4-2026%20&#1075;&#1075;\&#1087;&#1088;&#1086;&#1077;&#1082;&#1090;%20&#1073;&#1102;&#1076;&#1078;&#1077;&#1090;&#1072;%202024-202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70;&#1056;&#1063;&#1045;&#1053;&#1050;&#1054;%20&#1048;.&#1070;\&#1056;&#1040;&#1041;&#1054;&#1063;&#1040;&#1071;%20&#1044;&#1054;&#1050;&#1059;&#1052;&#1045;&#1053;&#1058;&#1040;&#1062;&#1048;&#1071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4-2026%20&#1075;&#1075;\&#1087;&#1088;&#1086;&#1077;&#1082;&#1090;%20&#1073;&#1102;&#1076;&#1078;&#1077;&#1090;&#1072;%202024-202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доходов на 2024 год и плановый период 2025 и 2026 годов</a:t>
            </a:r>
          </a:p>
        </c:rich>
      </c:tx>
      <c:layout>
        <c:manualLayout>
          <c:xMode val="edge"/>
          <c:yMode val="edge"/>
          <c:x val="0.16776155407758497"/>
          <c:y val="3.15581854043392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498591769398233E-2"/>
          <c:y val="0.15559807123348887"/>
          <c:w val="0.88775084440561303"/>
          <c:h val="0.730074500782414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хар-к'!$A$6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7A2-46D2-8566-876F940BFAC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7A2-46D2-8566-876F940BFAC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'прогноз основных хар-к'!$B$6:$D$6</c:f>
              <c:numCache>
                <c:formatCode>#,##0.00</c:formatCode>
                <c:ptCount val="3"/>
                <c:pt idx="0">
                  <c:v>923238200</c:v>
                </c:pt>
                <c:pt idx="1">
                  <c:v>803300200</c:v>
                </c:pt>
                <c:pt idx="2">
                  <c:v>865216200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A2-46D2-8566-876F940BFACC}"/>
            </c:ext>
          </c:extLst>
        </c:ser>
        <c:ser>
          <c:idx val="1"/>
          <c:order val="1"/>
          <c:tx>
            <c:strRef>
              <c:f>'прогноз основных хар-к'!$A$7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7A2-46D2-8566-876F940BFAC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57A2-46D2-8566-876F940BFAC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'прогноз основных хар-к'!$B$7:$D$7</c:f>
              <c:numCache>
                <c:formatCode>#,##0.00</c:formatCode>
                <c:ptCount val="3"/>
                <c:pt idx="0">
                  <c:v>50634155</c:v>
                </c:pt>
                <c:pt idx="1">
                  <c:v>49498759</c:v>
                </c:pt>
                <c:pt idx="2">
                  <c:v>49818722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A2-46D2-8566-876F940BFACC}"/>
            </c:ext>
          </c:extLst>
        </c:ser>
        <c:ser>
          <c:idx val="2"/>
          <c:order val="2"/>
          <c:tx>
            <c:strRef>
              <c:f>'прогноз основных хар-к'!$A$8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57A2-46D2-8566-876F940BFAC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7A2-46D2-8566-876F940BFAC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'прогноз основных хар-к'!$B$8:$D$8</c:f>
              <c:numCache>
                <c:formatCode>#,##0.00</c:formatCode>
                <c:ptCount val="3"/>
                <c:pt idx="0">
                  <c:v>1023857404.7000002</c:v>
                </c:pt>
                <c:pt idx="1">
                  <c:v>991312421.17000008</c:v>
                </c:pt>
                <c:pt idx="2">
                  <c:v>1019806425.7900002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A2-46D2-8566-876F940BF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868992736"/>
        <c:axId val="1"/>
      </c:barChart>
      <c:catAx>
        <c:axId val="1868992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899273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056884879681302"/>
          <c:y val="0.90319091770333437"/>
          <c:w val="0.84903277866965654"/>
          <c:h val="5.7269719983226941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расходов на 2024 год и плановый период 2025 и 2026 годов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420152026451245E-2"/>
          <c:y val="0.16156961861248825"/>
          <c:w val="0.85409499948870027"/>
          <c:h val="0.743204367972521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хар-к'!$A$12</c:f>
              <c:strCache>
                <c:ptCount val="1"/>
                <c:pt idx="0">
                  <c:v>за счет средств местного бюджета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C82-49CF-8B6B-B4A7CA9642DA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C82-49CF-8B6B-B4A7CA9642D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'прогноз основных хар-к'!$B$12:$D$12</c:f>
              <c:numCache>
                <c:formatCode>#,##0.00</c:formatCode>
                <c:ptCount val="3"/>
                <c:pt idx="0">
                  <c:v>973872355.00399995</c:v>
                </c:pt>
                <c:pt idx="1">
                  <c:v>852798958.99995995</c:v>
                </c:pt>
                <c:pt idx="2">
                  <c:v>915034922.00339997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82-49CF-8B6B-B4A7CA9642DA}"/>
            </c:ext>
          </c:extLst>
        </c:ser>
        <c:ser>
          <c:idx val="1"/>
          <c:order val="1"/>
          <c:tx>
            <c:strRef>
              <c:f>'прогноз основных хар-к'!$A$13</c:f>
              <c:strCache>
                <c:ptCount val="1"/>
                <c:pt idx="0">
                  <c:v>за счет средств бюджетов других уровней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C82-49CF-8B6B-B4A7CA9642DA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C82-49CF-8B6B-B4A7CA9642D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'прогноз основных хар-к'!$B$13:$D$13</c:f>
              <c:numCache>
                <c:formatCode>#,##0.00</c:formatCode>
                <c:ptCount val="3"/>
                <c:pt idx="0">
                  <c:v>1023857404.7000002</c:v>
                </c:pt>
                <c:pt idx="1">
                  <c:v>991312421.17000008</c:v>
                </c:pt>
                <c:pt idx="2">
                  <c:v>1019806425.7900002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82-49CF-8B6B-B4A7CA964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993984"/>
        <c:axId val="1"/>
      </c:barChart>
      <c:catAx>
        <c:axId val="18689939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89939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0822510822510827E-2"/>
          <c:y val="0.89473684210526316"/>
          <c:w val="0.9"/>
          <c:h val="7.9311023622047228E-2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metal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msv</cp:lastModifiedBy>
  <cp:revision>16</cp:revision>
  <cp:lastPrinted>2021-10-28T23:52:00Z</cp:lastPrinted>
  <dcterms:created xsi:type="dcterms:W3CDTF">2021-10-28T08:34:00Z</dcterms:created>
  <dcterms:modified xsi:type="dcterms:W3CDTF">2023-11-08T00:06:00Z</dcterms:modified>
</cp:coreProperties>
</file>