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4E74C2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24</w:t>
      </w:r>
      <w:r w:rsidR="00266DE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декабря </w:t>
      </w:r>
      <w:r w:rsidR="00266DE9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0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         № </w:t>
      </w:r>
      <w:r>
        <w:rPr>
          <w:b w:val="0"/>
          <w:sz w:val="26"/>
          <w:szCs w:val="26"/>
        </w:rPr>
        <w:t>538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1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BD2443" w:rsidRPr="00266DE9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4D1FA9" w:rsidRPr="004D1FA9" w:rsidRDefault="004D1FA9" w:rsidP="002E4462">
      <w:pPr>
        <w:pStyle w:val="a3"/>
        <w:spacing w:after="0"/>
        <w:jc w:val="center"/>
        <w:rPr>
          <w:b w:val="0"/>
          <w:sz w:val="26"/>
          <w:szCs w:val="26"/>
        </w:rPr>
      </w:pPr>
      <w:r w:rsidRPr="004D1FA9">
        <w:rPr>
          <w:b w:val="0"/>
          <w:sz w:val="26"/>
          <w:szCs w:val="26"/>
          <w:highlight w:val="yellow"/>
        </w:rPr>
        <w:t>(в редакции решени</w:t>
      </w:r>
      <w:r w:rsidR="00225253">
        <w:rPr>
          <w:b w:val="0"/>
          <w:sz w:val="26"/>
          <w:szCs w:val="26"/>
          <w:highlight w:val="yellow"/>
        </w:rPr>
        <w:t>й</w:t>
      </w:r>
      <w:r w:rsidRPr="004D1FA9">
        <w:rPr>
          <w:b w:val="0"/>
          <w:sz w:val="26"/>
          <w:szCs w:val="26"/>
          <w:highlight w:val="yellow"/>
        </w:rPr>
        <w:t xml:space="preserve"> Думы Дальнегорского городского округа от 12.02.2021 №</w:t>
      </w:r>
      <w:r w:rsidR="00522997">
        <w:rPr>
          <w:b w:val="0"/>
          <w:sz w:val="26"/>
          <w:szCs w:val="26"/>
          <w:highlight w:val="yellow"/>
        </w:rPr>
        <w:t xml:space="preserve"> 550</w:t>
      </w:r>
      <w:r w:rsidR="00225253">
        <w:rPr>
          <w:b w:val="0"/>
          <w:sz w:val="26"/>
          <w:szCs w:val="26"/>
          <w:highlight w:val="yellow"/>
        </w:rPr>
        <w:t>, от 30.04.2021 № 582</w:t>
      </w:r>
      <w:r w:rsidR="00444F2D">
        <w:rPr>
          <w:b w:val="0"/>
          <w:sz w:val="26"/>
          <w:szCs w:val="26"/>
          <w:highlight w:val="yellow"/>
        </w:rPr>
        <w:t>, от 2</w:t>
      </w:r>
      <w:r w:rsidR="00A714B6">
        <w:rPr>
          <w:b w:val="0"/>
          <w:sz w:val="26"/>
          <w:szCs w:val="26"/>
          <w:highlight w:val="yellow"/>
        </w:rPr>
        <w:t>5</w:t>
      </w:r>
      <w:r w:rsidR="00444F2D">
        <w:rPr>
          <w:b w:val="0"/>
          <w:sz w:val="26"/>
          <w:szCs w:val="26"/>
          <w:highlight w:val="yellow"/>
        </w:rPr>
        <w:t>.06.2021 № 619</w:t>
      </w:r>
      <w:r w:rsidR="0036138F">
        <w:rPr>
          <w:b w:val="0"/>
          <w:sz w:val="26"/>
          <w:szCs w:val="26"/>
          <w:highlight w:val="yellow"/>
        </w:rPr>
        <w:t>, от 20.08.2021 № 636</w:t>
      </w:r>
      <w:r w:rsidR="00672DB7">
        <w:rPr>
          <w:b w:val="0"/>
          <w:sz w:val="26"/>
          <w:szCs w:val="26"/>
          <w:highlight w:val="yellow"/>
        </w:rPr>
        <w:t>,</w:t>
      </w:r>
      <w:r w:rsidR="00672DB7" w:rsidRPr="00672DB7">
        <w:rPr>
          <w:b w:val="0"/>
          <w:sz w:val="26"/>
          <w:szCs w:val="26"/>
          <w:highlight w:val="yellow"/>
        </w:rPr>
        <w:t xml:space="preserve"> </w:t>
      </w:r>
      <w:r w:rsidR="00D627B1" w:rsidRPr="00D627B1">
        <w:rPr>
          <w:b w:val="0"/>
          <w:sz w:val="26"/>
          <w:szCs w:val="26"/>
          <w:highlight w:val="yellow"/>
        </w:rPr>
        <w:t>от 27.08.2021 № 65</w:t>
      </w:r>
      <w:r w:rsidR="00672DB7" w:rsidRPr="00D627B1">
        <w:rPr>
          <w:b w:val="0"/>
          <w:sz w:val="26"/>
          <w:szCs w:val="26"/>
          <w:highlight w:val="yellow"/>
        </w:rPr>
        <w:t>6</w:t>
      </w:r>
      <w:r w:rsidR="006E0F84">
        <w:rPr>
          <w:b w:val="0"/>
          <w:sz w:val="26"/>
          <w:szCs w:val="26"/>
          <w:highlight w:val="yellow"/>
        </w:rPr>
        <w:t>, от 30.09.2021 № 660</w:t>
      </w:r>
      <w:r w:rsidRPr="004D1FA9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бюджета городского округа в сумме </w:t>
      </w:r>
      <w:r w:rsidR="00672DB7" w:rsidRPr="00672DB7">
        <w:rPr>
          <w:b w:val="0"/>
          <w:highlight w:val="yellow"/>
        </w:rPr>
        <w:t>1 477 309 782,71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1.2. Общий объем расходов бюджета городского округа в сумме </w:t>
      </w:r>
      <w:r w:rsidR="006E0F84" w:rsidRPr="006E0F84">
        <w:rPr>
          <w:b w:val="0"/>
          <w:highlight w:val="yellow"/>
        </w:rPr>
        <w:t>1 542 629 629,60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1.3. Размер дефицита бюджета городского округа в сумме </w:t>
      </w:r>
      <w:r w:rsidR="006E0F84" w:rsidRPr="006E0F84">
        <w:rPr>
          <w:b w:val="0"/>
          <w:highlight w:val="yellow"/>
        </w:rPr>
        <w:t>65 319 846,89</w:t>
      </w:r>
      <w:r w:rsidR="00C270EB" w:rsidRP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2022 года – 8 539 905,13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1.5. Нормативная величина Резервного фонда администрации Дальнегорского городского округа – 10 000 000,00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 Утвердить основные характеристики бюджета городского округа на 2022 и 2023 годы: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2.2. Общий объем расходов бюджета городского округа на: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2022 год – в сумме </w:t>
      </w:r>
      <w:r w:rsidR="00225253" w:rsidRPr="00225253">
        <w:rPr>
          <w:b w:val="0"/>
          <w:bCs w:val="0"/>
          <w:highlight w:val="yellow"/>
        </w:rPr>
        <w:t>1 285 975 463,62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рублей, 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2023 год – в сумме </w:t>
      </w:r>
      <w:r w:rsidR="00225253" w:rsidRPr="00225253">
        <w:rPr>
          <w:b w:val="0"/>
          <w:bCs w:val="0"/>
          <w:highlight w:val="yellow"/>
        </w:rPr>
        <w:t>1 353 129 138,78</w:t>
      </w:r>
      <w:r w:rsidR="006E0B6A">
        <w:rPr>
          <w:b w:val="0"/>
          <w:bCs w:val="0"/>
        </w:rPr>
        <w:t xml:space="preserve"> </w:t>
      </w:r>
      <w:r w:rsidRPr="005B6560">
        <w:rPr>
          <w:b w:val="0"/>
          <w:bCs w:val="0"/>
        </w:rPr>
        <w:t xml:space="preserve">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2.3. Прогнозируемый размер дефицита бюджета городского округа на 2022 год в сумме 0,00 рублей, на 2023 год в сумме 0,00 рублей.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2.4. Условно </w:t>
      </w:r>
      <w:r w:rsidRPr="00225253">
        <w:rPr>
          <w:b w:val="0"/>
          <w:bCs w:val="0"/>
        </w:rPr>
        <w:t>утверждаемые расходы бюджета городского округа на: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2022 год –  в сумме </w:t>
      </w:r>
      <w:r w:rsidR="00A2782B" w:rsidRPr="00750D14">
        <w:rPr>
          <w:b w:val="0"/>
          <w:highlight w:val="yellow"/>
        </w:rPr>
        <w:t>18 086 506,00</w:t>
      </w:r>
      <w:r w:rsidR="00A2782B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рублей,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 xml:space="preserve">– 2023 год –  в сумме </w:t>
      </w:r>
      <w:r w:rsidR="00744F09" w:rsidRPr="00750D14">
        <w:rPr>
          <w:b w:val="0"/>
          <w:highlight w:val="yellow"/>
        </w:rPr>
        <w:t>42 102 334,00</w:t>
      </w:r>
      <w:r w:rsidR="00744F09" w:rsidRPr="00225253">
        <w:rPr>
          <w:b w:val="0"/>
        </w:rPr>
        <w:t xml:space="preserve"> </w:t>
      </w:r>
      <w:r w:rsidRPr="00225253">
        <w:rPr>
          <w:b w:val="0"/>
          <w:bCs w:val="0"/>
        </w:rPr>
        <w:t>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2.5. Верхний предел муниципального внутреннего долга Дальнегорского городского округа по состоянию на 1 января 2023 года – в сумме 0,00 рублей, по состоянию на 1 января 2024 года – в сумме 0,00 рублей. 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2.6. Нормативная величина Резервного фонда администрации Дальнегорского городского   округа   на   2022   и   2023   годы   </w:t>
      </w:r>
      <w:proofErr w:type="gramStart"/>
      <w:r w:rsidRPr="005B6560">
        <w:rPr>
          <w:b w:val="0"/>
          <w:bCs w:val="0"/>
        </w:rPr>
        <w:t>соответственно  –</w:t>
      </w:r>
      <w:proofErr w:type="gramEnd"/>
      <w:r w:rsidRPr="005B6560">
        <w:rPr>
          <w:b w:val="0"/>
          <w:bCs w:val="0"/>
        </w:rPr>
        <w:t xml:space="preserve">  10 000 000,00  рублей  и  10 000 000,00 рублей.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 Установить иные показатели бюджета городского округа на 2021 год: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3.1. 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3.2. Предельный объем муниципального долга бюджета городского округа – 50 000 000,00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3.3.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3.4. Предоставление муниципальных гарантий, бюджетных кредитов для юридических и физических лиц не планируется.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3.5.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672DB7" w:rsidRPr="00672DB7" w:rsidRDefault="005B6560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 xml:space="preserve">3.6. </w:t>
      </w:r>
      <w:r w:rsidR="00672DB7" w:rsidRPr="00672DB7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29 977 684,22 рублей, в том числе:</w:t>
      </w:r>
    </w:p>
    <w:p w:rsidR="00672DB7" w:rsidRPr="00672DB7" w:rsidRDefault="00672DB7" w:rsidP="00672DB7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672DB7">
        <w:rPr>
          <w:b w:val="0"/>
          <w:bCs w:val="0"/>
          <w:highlight w:val="yellow"/>
        </w:rPr>
        <w:t xml:space="preserve">– в сумме 227 377,00 рублей - </w:t>
      </w:r>
      <w:r w:rsidRPr="00672DB7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672DB7">
        <w:rPr>
          <w:highlight w:val="yellow"/>
        </w:rPr>
        <w:t>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 xml:space="preserve">– в сумме 10 700 018,00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599 796,46 рублей на выплаты единовременного пособия при передаче ребенка на воспитание в семью;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5 132 097,28 рублей на выплаты ежемесячного пособия на содержание приемных детей;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lastRenderedPageBreak/>
        <w:t>– в сумме 110 000,00 рублей на выплаты материальной помощи на организацию отдыха приемных детей;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7 944 813,48 рублей на выплаты на содержание ребенка, находящегося под опекой (попечительством);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672DB7" w:rsidRPr="00672DB7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672DB7">
        <w:rPr>
          <w:b w:val="0"/>
          <w:bCs w:val="0"/>
          <w:highlight w:val="yellow"/>
        </w:rPr>
        <w:t>– в сумме 194 400,00 рублей на возмещение расходов на проезд детей 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444F2D" w:rsidRPr="00FB11A0" w:rsidRDefault="00672DB7" w:rsidP="00672DB7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672DB7">
        <w:rPr>
          <w:b w:val="0"/>
          <w:bCs w:val="0"/>
          <w:highlight w:val="yellow"/>
        </w:rPr>
        <w:t>– в сумме 90 000,00 рублей на выплаты на ремонт жилого помещения лицам из числа детей-сирот и детей, оставшихся без попечения родителей.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 Установить иные показатели бюджета городского округа на плановый период 2022 и 2023 годов: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750D14">
        <w:rPr>
          <w:b w:val="0"/>
          <w:bCs w:val="0"/>
        </w:rPr>
        <w:t xml:space="preserve">4.1. </w:t>
      </w:r>
      <w:r w:rsidR="00A32750" w:rsidRPr="00750D14">
        <w:rPr>
          <w:b w:val="0"/>
          <w:bCs w:val="0"/>
          <w:highlight w:val="yellow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4.2. </w:t>
      </w:r>
      <w:r w:rsidRPr="005B6560">
        <w:rPr>
          <w:b w:val="0"/>
          <w:bCs w:val="0"/>
          <w:snapToGrid w:val="0"/>
        </w:rPr>
        <w:t xml:space="preserve">Предельный объем муниципального долга бюджета городского округа </w:t>
      </w:r>
      <w:r w:rsidRPr="005B6560">
        <w:rPr>
          <w:b w:val="0"/>
          <w:bCs w:val="0"/>
        </w:rPr>
        <w:t xml:space="preserve">на 2022 год – в сумме 50 000 000,00 рублей и 2023 год – в сумме 50 000 000,00 рублей. 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4.3. Предельный объем расходов на обслуживание муниципального долга Дальнегорского городского округа на 2022 год - в сумме 10 000 000,00 рублей и на 2023 год - в сумме 10 000 000,00 рублей</w:t>
      </w:r>
      <w:r w:rsidRPr="00225253">
        <w:rPr>
          <w:b w:val="0"/>
          <w:bCs w:val="0"/>
          <w:snapToGrid w:val="0"/>
        </w:rPr>
        <w:t>.</w:t>
      </w:r>
    </w:p>
    <w:p w:rsidR="005B6560" w:rsidRPr="00225253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25253">
        <w:rPr>
          <w:b w:val="0"/>
          <w:bCs w:val="0"/>
        </w:rPr>
        <w:t>4.4. Предоставление муниципальных гарантий, бюджетных кредитов для юридических и физических лиц не планируется.</w:t>
      </w:r>
    </w:p>
    <w:p w:rsidR="005B6560" w:rsidRPr="00750D14" w:rsidRDefault="005B6560" w:rsidP="005B6560">
      <w:pPr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750D14">
        <w:rPr>
          <w:b w:val="0"/>
        </w:rPr>
        <w:t xml:space="preserve">4.5. </w:t>
      </w:r>
      <w:r w:rsidR="00A32750" w:rsidRPr="00750D14">
        <w:rPr>
          <w:b w:val="0"/>
          <w:highlight w:val="yellow"/>
        </w:rPr>
        <w:t>Утвердить программу муниципальных внутренних заимствований Дальнегорского городского округа согласно приложению 2 к настоящему решению</w:t>
      </w:r>
      <w:r w:rsidRPr="00750D14">
        <w:rPr>
          <w:b w:val="0"/>
          <w:highlight w:val="yellow"/>
        </w:rPr>
        <w:t>.</w:t>
      </w:r>
    </w:p>
    <w:p w:rsidR="000408CD" w:rsidRPr="00750D14" w:rsidRDefault="005B6560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4.6. </w:t>
      </w:r>
      <w:r w:rsidR="000408CD" w:rsidRPr="00750D1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2022 год в сумме 26 373 908,77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4 548 535,00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817 217,46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lastRenderedPageBreak/>
        <w:t>- в сумме 5 437 116,41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10 187 605,68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на 2023 год в сумме 26 376 237,82 рублей, в том числе: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– в сумме 3 873 478,00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– в сумме 220 000,00 рублей на доплаты к пенсиям муниципальных служащих;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849 906,13 рублей на выплаты единовременного пособия при передаче ребенка на воспитание в семью;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5 759 465,10 рублей на выплаты ежемесячного пособия на содержание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10 509 954,37 рублей на выплаты на содержание ребенка, находящегося под опекой (попечительством);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0408CD" w:rsidRPr="00750D14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  <w:highlight w:val="yellow"/>
        </w:rPr>
        <w:t xml:space="preserve">- в сумме 204 252,22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</w:t>
      </w:r>
      <w:r w:rsidRPr="00750D14">
        <w:rPr>
          <w:b w:val="0"/>
          <w:bCs w:val="0"/>
          <w:highlight w:val="yellow"/>
        </w:rPr>
        <w:lastRenderedPageBreak/>
        <w:t>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B6560" w:rsidRDefault="000408CD" w:rsidP="000408CD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750D14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</w:t>
      </w:r>
      <w:r w:rsidR="005B6560" w:rsidRPr="00750D14">
        <w:rPr>
          <w:b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5. Утвердить перечень главных администраторов доходов бюджета Дальнегорского городского округа – органов местного самоуправления, закрепляемые за ними виды (подвиды) доходов бюджета Дальнегорского городского округа согласно приложению 3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6. Утвердить перечень главных администраторов доходов бюджета Дальнегорского городского округа –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 Дальнегорского городского округа согласно приложению 4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7. Закрепить источники финансирования дефицита бюджета Дальнегорского городского округа за главным администратором источников финансирования дефицита бюджета согласно приложению 5 к настоящему решению.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8.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 xml:space="preserve">9.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</w:t>
      </w:r>
      <w:r w:rsidRPr="005B6560">
        <w:rPr>
          <w:b w:val="0"/>
          <w:bCs w:val="0"/>
          <w:snapToGrid w:val="0"/>
        </w:rPr>
        <w:lastRenderedPageBreak/>
        <w:t>платных услуг), в полном объеме зачисляются в доходы бюджета Дальнегорского городского округа.</w:t>
      </w:r>
    </w:p>
    <w:p w:rsidR="005B6560" w:rsidRPr="00750D14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750D14">
        <w:rPr>
          <w:b w:val="0"/>
          <w:bCs w:val="0"/>
        </w:rPr>
        <w:t xml:space="preserve">10. </w:t>
      </w:r>
      <w:r w:rsidR="00787E87" w:rsidRPr="00750D14">
        <w:rPr>
          <w:b w:val="0"/>
          <w:bCs w:val="0"/>
          <w:highlight w:val="yellow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2021 год и плановый период 2022 и 2023 годов (приложение 6).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750D14">
        <w:rPr>
          <w:b w:val="0"/>
          <w:bCs w:val="0"/>
          <w:snapToGrid w:val="0"/>
        </w:rPr>
        <w:t xml:space="preserve">11. </w:t>
      </w:r>
      <w:r w:rsidR="00473B4A" w:rsidRPr="00750D14">
        <w:rPr>
          <w:b w:val="0"/>
          <w:bCs w:val="0"/>
          <w:snapToGrid w:val="0"/>
          <w:highlight w:val="yellow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2021 год и плановый период 2022 и 2023 годов, согласно приложению 7 к настоящему решению</w:t>
      </w:r>
      <w:r w:rsidRPr="00750D14">
        <w:rPr>
          <w:b w:val="0"/>
          <w:bCs w:val="0"/>
          <w:snapToGrid w:val="0"/>
          <w:highlight w:val="yellow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672DB7">
        <w:rPr>
          <w:b w:val="0"/>
          <w:bCs w:val="0"/>
          <w:highlight w:val="yellow"/>
        </w:rPr>
        <w:t>1</w:t>
      </w:r>
      <w:r w:rsidR="00473B4A" w:rsidRPr="00672DB7">
        <w:rPr>
          <w:b w:val="0"/>
          <w:bCs w:val="0"/>
          <w:highlight w:val="yellow"/>
        </w:rPr>
        <w:t>2</w:t>
      </w:r>
      <w:r w:rsidRPr="006E0F84">
        <w:rPr>
          <w:b w:val="0"/>
          <w:bCs w:val="0"/>
          <w:highlight w:val="yellow"/>
        </w:rPr>
        <w:t xml:space="preserve">. </w:t>
      </w:r>
      <w:r w:rsidR="006E0F84" w:rsidRPr="006E0F84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6E0F84" w:rsidRPr="006E0F84">
        <w:rPr>
          <w:b w:val="0"/>
          <w:bCs w:val="0"/>
          <w:highlight w:val="yellow"/>
        </w:rPr>
        <w:t>Дальнегорского</w:t>
      </w:r>
      <w:proofErr w:type="spellEnd"/>
      <w:r w:rsidR="006E0F84" w:rsidRPr="006E0F84">
        <w:rPr>
          <w:b w:val="0"/>
          <w:bCs w:val="0"/>
          <w:highlight w:val="yellow"/>
        </w:rPr>
        <w:t xml:space="preserve"> городского округа на 2021 год в размере 70 405 282,61 рублей, на плановый период 2022 и 2023 годов – в размере соответственно 13 310 000,00 рублей и 13 310 000,00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750D14">
        <w:rPr>
          <w:b w:val="0"/>
          <w:bCs w:val="0"/>
        </w:rPr>
        <w:t>1</w:t>
      </w:r>
      <w:r w:rsidR="00473B4A" w:rsidRPr="00750D14">
        <w:rPr>
          <w:b w:val="0"/>
          <w:bCs w:val="0"/>
        </w:rPr>
        <w:t>4</w:t>
      </w:r>
      <w:r w:rsidRPr="00750D14">
        <w:rPr>
          <w:b w:val="0"/>
          <w:bCs w:val="0"/>
        </w:rPr>
        <w:t xml:space="preserve">. </w:t>
      </w:r>
      <w:r w:rsidR="004B7EA1" w:rsidRPr="00750D14">
        <w:rPr>
          <w:b w:val="0"/>
          <w:bCs w:val="0"/>
          <w:highlight w:val="yellow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2021 год и плановый период 2022 и 2023 годов (приложение 8),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2021 год и плановый период 2022 и 2023 годов (приложение 9),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2021 год и плановый период 2022 и 2023 годов (приложение 10).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5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1</w:t>
      </w:r>
      <w:r w:rsidR="00473B4A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резервный фонд Администрации Дальнегорского городского округа на 2021 год в сумме 3 500 000,00 рублей, на плановый период 2022 и 2023 годов в сумме соответственно 3 500 000,00 рублей и 3 500 000,00 рублей.</w:t>
      </w:r>
    </w:p>
    <w:p w:rsidR="006E0F84" w:rsidRPr="006E0F84" w:rsidRDefault="005B6560" w:rsidP="006E0F84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bCs w:val="0"/>
          <w:highlight w:val="yellow"/>
        </w:rPr>
        <w:t>1</w:t>
      </w:r>
      <w:r w:rsidR="00473B4A" w:rsidRPr="006E0F84">
        <w:rPr>
          <w:b w:val="0"/>
          <w:bCs w:val="0"/>
          <w:highlight w:val="yellow"/>
        </w:rPr>
        <w:t>8</w:t>
      </w:r>
      <w:r w:rsidRPr="006E0F84">
        <w:rPr>
          <w:b w:val="0"/>
          <w:bCs w:val="0"/>
          <w:highlight w:val="yellow"/>
        </w:rPr>
        <w:t xml:space="preserve">. </w:t>
      </w:r>
      <w:r w:rsidR="006E0F84" w:rsidRPr="006E0F84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bCs w:val="0"/>
          <w:highlight w:val="yellow"/>
        </w:rPr>
        <w:t>на 2021 год в размере 80 934 875,13 рублей, в том числе: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bCs w:val="0"/>
          <w:highlight w:val="yellow"/>
        </w:rPr>
        <w:t xml:space="preserve">на строительство </w:t>
      </w:r>
      <w:bookmarkStart w:id="0" w:name="_GoBack"/>
      <w:bookmarkEnd w:id="0"/>
      <w:r w:rsidRPr="006E0F84">
        <w:rPr>
          <w:b w:val="0"/>
          <w:bCs w:val="0"/>
          <w:highlight w:val="yellow"/>
        </w:rPr>
        <w:t>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 – 6 916 736,67 рублей;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28 750 928,60 рублей;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6E0F84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24 439 900,00 рублей;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6E0F84">
        <w:rPr>
          <w:b w:val="0"/>
          <w:highlight w:val="yellow"/>
        </w:rPr>
        <w:t>на реконструкцию МБУ ДК «Горняк» – 16 597 515,86 рублей;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6E0F84">
        <w:rPr>
          <w:b w:val="0"/>
          <w:highlight w:val="yellow"/>
        </w:rPr>
        <w:t>на реконструкцию здания МБУ ДО ДШИ - 4 229 794,00 рублей.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bCs w:val="0"/>
          <w:highlight w:val="yellow"/>
        </w:rPr>
        <w:t>на плановый период 2022 и 2023 годов – в размере соответственно 32 701 500,00 рублей и 26 439 900,00 рублей, в том числе:</w:t>
      </w:r>
    </w:p>
    <w:p w:rsidR="006E0F84" w:rsidRPr="006E0F84" w:rsidRDefault="006E0F84" w:rsidP="006E0F84">
      <w:pPr>
        <w:autoSpaceDE/>
        <w:autoSpaceDN/>
        <w:spacing w:line="360" w:lineRule="auto"/>
        <w:ind w:firstLine="567"/>
        <w:jc w:val="both"/>
        <w:rPr>
          <w:b w:val="0"/>
          <w:highlight w:val="yellow"/>
        </w:rPr>
      </w:pPr>
      <w:r w:rsidRPr="006E0F84">
        <w:rPr>
          <w:b w:val="0"/>
          <w:bCs w:val="0"/>
          <w:highlight w:val="yellow"/>
        </w:rPr>
        <w:t>на обеспечение мероприятий по переселению граждан из аварийного жилищного фонда – на 2022 год – 11 600,00 рублей и на 2023 год –  0,00 рублей;</w:t>
      </w:r>
    </w:p>
    <w:p w:rsidR="006E0F84" w:rsidRPr="006E0F84" w:rsidRDefault="006E0F84" w:rsidP="006E0F84">
      <w:pPr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6E0F84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</w:r>
      <w:r w:rsidRPr="006E0F84">
        <w:rPr>
          <w:b w:val="0"/>
          <w:bCs w:val="0"/>
          <w:highlight w:val="yellow"/>
        </w:rPr>
        <w:t xml:space="preserve">– на 2022 год - </w:t>
      </w:r>
      <w:r w:rsidRPr="006E0F84">
        <w:rPr>
          <w:b w:val="0"/>
          <w:highlight w:val="yellow"/>
        </w:rPr>
        <w:t xml:space="preserve">26 439 900,00 </w:t>
      </w:r>
      <w:r w:rsidRPr="006E0F84">
        <w:rPr>
          <w:b w:val="0"/>
          <w:bCs w:val="0"/>
          <w:highlight w:val="yellow"/>
        </w:rPr>
        <w:t>рублей и на 2023 год –  26 439 900,00 рублей;</w:t>
      </w:r>
    </w:p>
    <w:p w:rsidR="005B6560" w:rsidRPr="005B6560" w:rsidRDefault="006E0F84" w:rsidP="006E0F84">
      <w:pPr>
        <w:spacing w:line="360" w:lineRule="auto"/>
        <w:ind w:firstLine="567"/>
        <w:jc w:val="both"/>
        <w:rPr>
          <w:b w:val="0"/>
        </w:rPr>
      </w:pPr>
      <w:r w:rsidRPr="006E0F84">
        <w:rPr>
          <w:b w:val="0"/>
          <w:highlight w:val="yellow"/>
        </w:rPr>
        <w:t xml:space="preserve">на строительство </w:t>
      </w:r>
      <w:proofErr w:type="spellStart"/>
      <w:r w:rsidRPr="006E0F84">
        <w:rPr>
          <w:b w:val="0"/>
          <w:highlight w:val="yellow"/>
        </w:rPr>
        <w:t>Дальнегорского</w:t>
      </w:r>
      <w:proofErr w:type="spellEnd"/>
      <w:r w:rsidRPr="006E0F84">
        <w:rPr>
          <w:b w:val="0"/>
          <w:highlight w:val="yellow"/>
        </w:rPr>
        <w:t xml:space="preserve"> городского кладбища (с. </w:t>
      </w:r>
      <w:proofErr w:type="spellStart"/>
      <w:r w:rsidRPr="006E0F84">
        <w:rPr>
          <w:b w:val="0"/>
          <w:highlight w:val="yellow"/>
        </w:rPr>
        <w:t>Сержантово</w:t>
      </w:r>
      <w:proofErr w:type="spellEnd"/>
      <w:r w:rsidRPr="006E0F84">
        <w:rPr>
          <w:b w:val="0"/>
          <w:highlight w:val="yellow"/>
        </w:rPr>
        <w:t xml:space="preserve">) </w:t>
      </w:r>
      <w:r w:rsidRPr="006E0F84">
        <w:rPr>
          <w:b w:val="0"/>
          <w:bCs w:val="0"/>
          <w:highlight w:val="yellow"/>
        </w:rPr>
        <w:t xml:space="preserve">– на 2022 год – </w:t>
      </w:r>
      <w:r w:rsidRPr="006E0F84">
        <w:rPr>
          <w:b w:val="0"/>
          <w:highlight w:val="yellow"/>
        </w:rPr>
        <w:t xml:space="preserve">6 250 000,00 </w:t>
      </w:r>
      <w:r w:rsidRPr="006E0F84">
        <w:rPr>
          <w:b w:val="0"/>
          <w:bCs w:val="0"/>
          <w:highlight w:val="yellow"/>
        </w:rPr>
        <w:t>рублей и на 2023 год –  0,00 рублей</w:t>
      </w:r>
      <w:r w:rsidRPr="006E0F84">
        <w:rPr>
          <w:b w:val="0"/>
          <w:highlight w:val="yellow"/>
        </w:rPr>
        <w:t>.</w:t>
      </w:r>
    </w:p>
    <w:p w:rsidR="005B6560" w:rsidRPr="005B6560" w:rsidRDefault="00473B4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0</w:t>
      </w:r>
      <w:r w:rsidRPr="005B6560">
        <w:rPr>
          <w:b w:val="0"/>
          <w:bCs w:val="0"/>
        </w:rPr>
        <w:t>.Установить,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1</w:t>
      </w:r>
      <w:r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2021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lastRenderedPageBreak/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5B6560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</w:t>
      </w:r>
      <w:r w:rsidRPr="005B6560">
        <w:rPr>
          <w:b w:val="0"/>
          <w:bCs w:val="0"/>
        </w:rPr>
        <w:lastRenderedPageBreak/>
        <w:t>руководителя финансового управления администрации Дальнегорского городского округа являются:</w:t>
      </w:r>
    </w:p>
    <w:p w:rsidR="005B6560" w:rsidRP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Российской Федерации, Приморского края.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2</w:t>
      </w:r>
      <w:r w:rsidR="00473B4A">
        <w:rPr>
          <w:b w:val="0"/>
          <w:bCs w:val="0"/>
        </w:rPr>
        <w:t>4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2021 году и плановом периоде 2022 и 2023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36138F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>2</w:t>
      </w:r>
      <w:r w:rsidR="00473B4A" w:rsidRPr="0036138F">
        <w:rPr>
          <w:b w:val="0"/>
          <w:highlight w:val="yellow"/>
        </w:rPr>
        <w:t>5</w:t>
      </w:r>
      <w:r w:rsidRPr="0036138F">
        <w:rPr>
          <w:b w:val="0"/>
          <w:highlight w:val="yellow"/>
        </w:rPr>
        <w:t xml:space="preserve">. </w:t>
      </w:r>
      <w:r w:rsidR="0036138F" w:rsidRPr="0036138F">
        <w:rPr>
          <w:b w:val="0"/>
          <w:highlight w:val="yellow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</w:t>
      </w:r>
      <w:proofErr w:type="spellStart"/>
      <w:r w:rsidR="0036138F" w:rsidRPr="0036138F">
        <w:rPr>
          <w:b w:val="0"/>
          <w:highlight w:val="yellow"/>
        </w:rPr>
        <w:t>Дальнегорского</w:t>
      </w:r>
      <w:proofErr w:type="spellEnd"/>
      <w:r w:rsidR="0036138F" w:rsidRPr="0036138F">
        <w:rPr>
          <w:b w:val="0"/>
          <w:highlight w:val="yellow"/>
        </w:rPr>
        <w:t xml:space="preserve">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 xml:space="preserve"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</w:t>
      </w:r>
      <w:proofErr w:type="spellStart"/>
      <w:r w:rsidRPr="0036138F">
        <w:rPr>
          <w:b w:val="0"/>
          <w:highlight w:val="yellow"/>
        </w:rPr>
        <w:t>Дальнегорского</w:t>
      </w:r>
      <w:proofErr w:type="spellEnd"/>
      <w:r w:rsidRPr="0036138F">
        <w:rPr>
          <w:b w:val="0"/>
          <w:highlight w:val="yellow"/>
        </w:rPr>
        <w:t xml:space="preserve"> городского округа.</w:t>
      </w:r>
    </w:p>
    <w:p w:rsidR="0036138F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 xml:space="preserve"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</w:t>
      </w:r>
      <w:proofErr w:type="spellStart"/>
      <w:r w:rsidRPr="0036138F">
        <w:rPr>
          <w:b w:val="0"/>
          <w:highlight w:val="yellow"/>
        </w:rPr>
        <w:t>Дальнегорского</w:t>
      </w:r>
      <w:proofErr w:type="spellEnd"/>
      <w:r w:rsidRPr="0036138F">
        <w:rPr>
          <w:b w:val="0"/>
          <w:highlight w:val="yellow"/>
        </w:rPr>
        <w:t xml:space="preserve"> городского округа, в связи с распространением новой </w:t>
      </w:r>
      <w:proofErr w:type="spellStart"/>
      <w:r w:rsidRPr="0036138F">
        <w:rPr>
          <w:b w:val="0"/>
          <w:highlight w:val="yellow"/>
        </w:rPr>
        <w:t>коронавирусной</w:t>
      </w:r>
      <w:proofErr w:type="spellEnd"/>
      <w:r w:rsidRPr="0036138F">
        <w:rPr>
          <w:b w:val="0"/>
          <w:highlight w:val="yellow"/>
        </w:rPr>
        <w:t xml:space="preserve"> инфекции (COVID-19).</w:t>
      </w:r>
    </w:p>
    <w:p w:rsidR="005B6560" w:rsidRPr="0036138F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highlight w:val="yellow"/>
        </w:rPr>
      </w:pPr>
      <w:r w:rsidRPr="0036138F">
        <w:rPr>
          <w:b w:val="0"/>
          <w:highlight w:val="yellow"/>
        </w:rPr>
        <w:t>- возмещения затрат в связи с осуществлением деятельности по управлению многоквартирными домами.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73B4A">
        <w:rPr>
          <w:b w:val="0"/>
          <w:bCs w:val="0"/>
        </w:rPr>
        <w:t>6</w:t>
      </w:r>
      <w:r w:rsidRPr="005B6560">
        <w:rPr>
          <w:b w:val="0"/>
          <w:bCs w:val="0"/>
        </w:rPr>
        <w:t xml:space="preserve">. Порядок предоставления и возврата субсидий устанавливаются администрацией </w:t>
      </w:r>
      <w:proofErr w:type="spellStart"/>
      <w:r w:rsidRPr="005B6560">
        <w:rPr>
          <w:b w:val="0"/>
          <w:bCs w:val="0"/>
        </w:rPr>
        <w:t>Дальнегорского</w:t>
      </w:r>
      <w:proofErr w:type="spellEnd"/>
      <w:r w:rsidRPr="005B6560">
        <w:rPr>
          <w:b w:val="0"/>
          <w:bCs w:val="0"/>
        </w:rPr>
        <w:t xml:space="preserve"> городского округа.</w:t>
      </w:r>
    </w:p>
    <w:p w:rsidR="00444F2D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444F2D">
        <w:rPr>
          <w:b w:val="0"/>
          <w:highlight w:val="yellow"/>
        </w:rPr>
        <w:t xml:space="preserve">27. Провести с 01 октября 2021 года индексацию путем увеличения в 1,04 раза размеров должностных окладов, установленных работникам муниципальных казенных учреждений, ежемесячного денежного вознаграждения лиц, замещающих муниципальные должности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округа; окладов месячного денежного содержания по должностям муниципальной службы </w:t>
      </w:r>
      <w:proofErr w:type="spellStart"/>
      <w:r w:rsidRPr="00444F2D">
        <w:rPr>
          <w:b w:val="0"/>
          <w:highlight w:val="yellow"/>
        </w:rPr>
        <w:t>Дальнегорского</w:t>
      </w:r>
      <w:proofErr w:type="spellEnd"/>
      <w:r w:rsidRPr="00444F2D">
        <w:rPr>
          <w:b w:val="0"/>
          <w:highlight w:val="yellow"/>
        </w:rPr>
        <w:t xml:space="preserve">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8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3 «Перечень главных администраторов доходов бюджета Дальнегорского городского округа - органов местного самоуправления,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4 «Перечень главных администраторов доходов бюджета Дальнегорского городского округа - органов государственной власти Российской Федерации, органов </w:t>
      </w:r>
      <w:r w:rsidRPr="0086603F">
        <w:rPr>
          <w:b w:val="0"/>
        </w:rPr>
        <w:lastRenderedPageBreak/>
        <w:t>государственной власти Приморского края, закрепляемые за ними виды (подвиды) доходов бюджета на 2021 год и плановый период 2022 и 2023 годов»;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5 «Перечень главных администраторов источников финансирования дефицита бюджета Дальнегорского городского округа на 2021 год и плановый период 2022 и 2023 годов»;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6 «Объем доходов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7 «Объем межбюджетных трансфертов, получаемых бюджетом </w:t>
      </w:r>
      <w:r w:rsidRPr="0086603F">
        <w:rPr>
          <w:b w:val="0"/>
        </w:rPr>
        <w:t>Дальнегорского городского округа из других бюджетов бюджетной системы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8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2021 год</w:t>
      </w:r>
      <w:r w:rsidR="0020572D" w:rsidRPr="0086603F">
        <w:rPr>
          <w:b w:val="0"/>
        </w:rPr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9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10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2021 год</w:t>
      </w:r>
      <w:r w:rsidR="0020572D" w:rsidRPr="0086603F">
        <w:t xml:space="preserve"> </w:t>
      </w:r>
      <w:r w:rsidR="0020572D" w:rsidRPr="00750D14">
        <w:rPr>
          <w:b w:val="0"/>
          <w:highlight w:val="yellow"/>
        </w:rPr>
        <w:t>и плановый период 2022 и 2023 годов</w:t>
      </w:r>
      <w:r w:rsidRPr="0086603F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11 «</w:t>
      </w:r>
      <w:r w:rsidRPr="0086603F">
        <w:rPr>
          <w:b w:val="0"/>
          <w:bCs w:val="0"/>
        </w:rPr>
        <w:t xml:space="preserve">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12 «Программа муниципальных внутренних заимствований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13 «Объем доходов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14 «Объем межбюджетных трансфертов, получаемых бюджетом Дальнегорского городского округа из других бюджетов бюджетной системы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>- приложение № 15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lastRenderedPageBreak/>
        <w:t>- приложение № 16 «</w:t>
      </w:r>
      <w:r w:rsidRPr="0086603F">
        <w:rPr>
          <w:b w:val="0"/>
          <w:bCs w:val="0"/>
        </w:rPr>
        <w:t>Распределение б</w:t>
      </w:r>
      <w:r w:rsidRPr="005B6560">
        <w:rPr>
          <w:b w:val="0"/>
          <w:bCs w:val="0"/>
        </w:rPr>
        <w:t xml:space="preserve">юджетных ассигнований из бюджета Дальнегорского городского округа по целевым статьям муниципальным программам и непрограммным </w:t>
      </w:r>
      <w:r w:rsidRPr="0086603F">
        <w:rPr>
          <w:b w:val="0"/>
          <w:bCs w:val="0"/>
        </w:rPr>
        <w:t xml:space="preserve">направлениям деятельности, группам видов расходов классификации расходов бюджетов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86603F">
        <w:rPr>
          <w:b w:val="0"/>
        </w:rPr>
        <w:t>- приложение № 17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плановый период 2022 и 2023 годов»</w:t>
      </w:r>
      <w:r w:rsidR="001C4D01" w:rsidRPr="0086603F">
        <w:rPr>
          <w:b w:val="0"/>
          <w:bCs w:val="0"/>
        </w:rPr>
        <w:t xml:space="preserve"> </w:t>
      </w:r>
      <w:r w:rsidR="001C4D01" w:rsidRPr="00750D14">
        <w:rPr>
          <w:b w:val="0"/>
          <w:bCs w:val="0"/>
          <w:highlight w:val="yellow"/>
        </w:rPr>
        <w:t>признать утратившим силу</w:t>
      </w:r>
      <w:r w:rsidRPr="0086603F">
        <w:rPr>
          <w:b w:val="0"/>
        </w:rPr>
        <w:t>.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444F2D">
        <w:rPr>
          <w:b w:val="0"/>
          <w:bCs w:val="0"/>
        </w:rPr>
        <w:t>9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444F2D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30</w:t>
      </w:r>
      <w:r w:rsidR="005B6560" w:rsidRPr="005B6560">
        <w:rPr>
          <w:b w:val="0"/>
          <w:bCs w:val="0"/>
        </w:rPr>
        <w:t>. Настоящее решение вступает в силу с 01 января 2021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5B6560" w:rsidRDefault="005B6560" w:rsidP="005B6560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p w:rsidR="004B7EA1" w:rsidRDefault="004B7EA1" w:rsidP="00205CFB">
      <w:pPr>
        <w:pStyle w:val="a3"/>
        <w:spacing w:after="0" w:line="360" w:lineRule="auto"/>
        <w:ind w:firstLine="851"/>
        <w:contextualSpacing/>
        <w:jc w:val="both"/>
        <w:rPr>
          <w:b w:val="0"/>
          <w:sz w:val="24"/>
        </w:rPr>
      </w:pPr>
    </w:p>
    <w:sectPr w:rsidR="004B7EA1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9" w:rsidRDefault="00F07B59">
      <w:r>
        <w:separator/>
      </w:r>
    </w:p>
  </w:endnote>
  <w:endnote w:type="continuationSeparator" w:id="0">
    <w:p w:rsidR="00F07B59" w:rsidRDefault="00F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9" w:rsidRDefault="00F07B59">
      <w:r>
        <w:separator/>
      </w:r>
    </w:p>
  </w:footnote>
  <w:footnote w:type="continuationSeparator" w:id="0">
    <w:p w:rsidR="00F07B59" w:rsidRDefault="00F0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75AE"/>
    <w:rsid w:val="00081597"/>
    <w:rsid w:val="00083A13"/>
    <w:rsid w:val="000932E5"/>
    <w:rsid w:val="0009481C"/>
    <w:rsid w:val="000A1E86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F115D"/>
    <w:rsid w:val="000F422B"/>
    <w:rsid w:val="001014C2"/>
    <w:rsid w:val="00102EC9"/>
    <w:rsid w:val="00107876"/>
    <w:rsid w:val="00112E4F"/>
    <w:rsid w:val="00116C7B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782E"/>
    <w:rsid w:val="00190164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4B4B"/>
    <w:rsid w:val="001C4D01"/>
    <w:rsid w:val="001D0606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460E"/>
    <w:rsid w:val="002B52FC"/>
    <w:rsid w:val="002B7B24"/>
    <w:rsid w:val="002C217A"/>
    <w:rsid w:val="002C3FF8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70A85"/>
    <w:rsid w:val="00374612"/>
    <w:rsid w:val="00374AB1"/>
    <w:rsid w:val="00375224"/>
    <w:rsid w:val="00380C04"/>
    <w:rsid w:val="00380F24"/>
    <w:rsid w:val="003812C3"/>
    <w:rsid w:val="003836CD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50087A"/>
    <w:rsid w:val="00502F73"/>
    <w:rsid w:val="00512BDA"/>
    <w:rsid w:val="0051472F"/>
    <w:rsid w:val="00517697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C7E"/>
    <w:rsid w:val="005A419E"/>
    <w:rsid w:val="005A7FA9"/>
    <w:rsid w:val="005B2A3F"/>
    <w:rsid w:val="005B6560"/>
    <w:rsid w:val="005B767F"/>
    <w:rsid w:val="005C2AA8"/>
    <w:rsid w:val="005C54C3"/>
    <w:rsid w:val="005C57E1"/>
    <w:rsid w:val="005C6A75"/>
    <w:rsid w:val="005D09A4"/>
    <w:rsid w:val="005D6593"/>
    <w:rsid w:val="005E0902"/>
    <w:rsid w:val="005E2ABE"/>
    <w:rsid w:val="005F3410"/>
    <w:rsid w:val="005F738D"/>
    <w:rsid w:val="00601379"/>
    <w:rsid w:val="00605B8E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12202"/>
    <w:rsid w:val="00713BAA"/>
    <w:rsid w:val="00717D07"/>
    <w:rsid w:val="0072244B"/>
    <w:rsid w:val="00723727"/>
    <w:rsid w:val="0072381E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568D"/>
    <w:rsid w:val="007843B5"/>
    <w:rsid w:val="00787E87"/>
    <w:rsid w:val="007958C4"/>
    <w:rsid w:val="00795D59"/>
    <w:rsid w:val="00797CCD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799B"/>
    <w:rsid w:val="0085096D"/>
    <w:rsid w:val="0085349B"/>
    <w:rsid w:val="00860B12"/>
    <w:rsid w:val="00863ACA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B1270"/>
    <w:rsid w:val="008B12B4"/>
    <w:rsid w:val="008C0F7B"/>
    <w:rsid w:val="008C122E"/>
    <w:rsid w:val="008C2AA3"/>
    <w:rsid w:val="008C611F"/>
    <w:rsid w:val="008C62B1"/>
    <w:rsid w:val="008C7452"/>
    <w:rsid w:val="008D33E8"/>
    <w:rsid w:val="008D5D01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2782B"/>
    <w:rsid w:val="00A30653"/>
    <w:rsid w:val="00A32750"/>
    <w:rsid w:val="00A33C72"/>
    <w:rsid w:val="00A34C9B"/>
    <w:rsid w:val="00A40563"/>
    <w:rsid w:val="00A41E86"/>
    <w:rsid w:val="00A43138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4B6"/>
    <w:rsid w:val="00A71E4A"/>
    <w:rsid w:val="00A76020"/>
    <w:rsid w:val="00A774C3"/>
    <w:rsid w:val="00A77F5F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5694"/>
    <w:rsid w:val="00B06EB5"/>
    <w:rsid w:val="00B07E15"/>
    <w:rsid w:val="00B135CD"/>
    <w:rsid w:val="00B17192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7800"/>
    <w:rsid w:val="00B57B94"/>
    <w:rsid w:val="00B616B8"/>
    <w:rsid w:val="00B627C8"/>
    <w:rsid w:val="00B62A19"/>
    <w:rsid w:val="00B6788F"/>
    <w:rsid w:val="00B6791B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26D4"/>
    <w:rsid w:val="00C03947"/>
    <w:rsid w:val="00C05AD7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74AF"/>
    <w:rsid w:val="00D2334F"/>
    <w:rsid w:val="00D235E7"/>
    <w:rsid w:val="00D24069"/>
    <w:rsid w:val="00D31418"/>
    <w:rsid w:val="00D3513F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5E1"/>
    <w:rsid w:val="00DF2595"/>
    <w:rsid w:val="00DF453E"/>
    <w:rsid w:val="00DF529A"/>
    <w:rsid w:val="00DF60F0"/>
    <w:rsid w:val="00DF7F3F"/>
    <w:rsid w:val="00E05332"/>
    <w:rsid w:val="00E10AAB"/>
    <w:rsid w:val="00E1524B"/>
    <w:rsid w:val="00E176F7"/>
    <w:rsid w:val="00E27D58"/>
    <w:rsid w:val="00E310DD"/>
    <w:rsid w:val="00E35947"/>
    <w:rsid w:val="00E36AD8"/>
    <w:rsid w:val="00E54A54"/>
    <w:rsid w:val="00E57D8F"/>
    <w:rsid w:val="00E610C3"/>
    <w:rsid w:val="00E6192C"/>
    <w:rsid w:val="00E632F7"/>
    <w:rsid w:val="00E82AA3"/>
    <w:rsid w:val="00E93973"/>
    <w:rsid w:val="00E97E71"/>
    <w:rsid w:val="00EA1824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47C5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BE04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7903-86E9-4539-967B-8857D811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26</cp:revision>
  <cp:lastPrinted>2021-02-04T02:28:00Z</cp:lastPrinted>
  <dcterms:created xsi:type="dcterms:W3CDTF">2021-02-19T01:39:00Z</dcterms:created>
  <dcterms:modified xsi:type="dcterms:W3CDTF">2021-10-08T00:24:00Z</dcterms:modified>
</cp:coreProperties>
</file>