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CB1380">
        <w:rPr>
          <w:rFonts w:ascii="Times New Roman" w:hAnsi="Times New Roman"/>
          <w:sz w:val="26"/>
          <w:szCs w:val="26"/>
        </w:rPr>
        <w:t>____________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№________</w:t>
      </w:r>
      <w:bookmarkStart w:id="0" w:name="Par319"/>
      <w:bookmarkEnd w:id="0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A460D5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культуры, спорта и молодёжной политики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BD2604" w:rsidRPr="000F2D3E" w:rsidTr="00993FB8">
        <w:trPr>
          <w:trHeight w:val="2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604" w:rsidRPr="000F2D3E" w:rsidTr="00993FB8">
        <w:trPr>
          <w:trHeight w:val="16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6F165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одпрограммы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21" w:rsidRPr="000F2D3E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17" w:rsidRPr="000F2D3E" w:rsidRDefault="00F76317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F76317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F76317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BD2604" w:rsidRPr="000F2D3E" w:rsidRDefault="00F76317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BD2604" w:rsidRPr="000F2D3E" w:rsidTr="00993FB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</w:t>
            </w:r>
            <w:r w:rsidR="006F1654"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38" w:rsidRPr="000F2D3E" w:rsidRDefault="00CA0187" w:rsidP="000F2D3E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 расходы на 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79"/>
            </w:tblGrid>
            <w:tr w:rsidR="00BD2604" w:rsidRPr="000F2D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2604" w:rsidRPr="000F2D3E" w:rsidRDefault="00BD2604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F7AB5" w:rsidRPr="000F2D3E" w:rsidRDefault="00BD2604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Государственная программа Российской Федерации </w:t>
                  </w:r>
                  <w:r w:rsidR="002570F2"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Развитие образования</w:t>
                  </w:r>
                  <w:r w:rsidR="002570F2"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утвержденная Постановлением Правительства Российской Федерации от 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26.12.2017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 w:rsidR="00E0686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1642;</w:t>
                  </w:r>
                </w:p>
              </w:tc>
            </w:tr>
          </w:tbl>
          <w:p w:rsidR="00BD2604" w:rsidRPr="000F2D3E" w:rsidRDefault="00BD2604" w:rsidP="00113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</w:t>
            </w:r>
            <w:r w:rsidR="002570F2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Приморского края</w:t>
            </w:r>
            <w:r w:rsidR="002570F2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="00E01CE7"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2020-2027 годы, утвержденная постановлением Администрации Приморского края от 16.12.2019 № 848-па</w:t>
            </w:r>
          </w:p>
        </w:tc>
      </w:tr>
      <w:tr w:rsidR="004000E6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6" w:rsidRPr="000F2D3E" w:rsidRDefault="004000E6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6" w:rsidRPr="000F2D3E" w:rsidRDefault="004000E6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2604" w:rsidRPr="000F2D3E" w:rsidRDefault="00BD2604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 xml:space="preserve">удовлетворение потребностей детей и 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="00B41AFF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AFF" w:rsidRPr="000F2D3E" w:rsidRDefault="00BD2604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41AFF"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="00967F66"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00DF5" w:rsidRPr="000F2D3E" w:rsidRDefault="00B41AFF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Индикаторы (показатели)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E114D3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населения Дальнегорского городского округа качеством предос</w:t>
            </w:r>
            <w:r w:rsidR="00B41AFF" w:rsidRPr="000F2D3E">
              <w:rPr>
                <w:rFonts w:ascii="Times New Roman" w:hAnsi="Times New Roman"/>
                <w:sz w:val="26"/>
                <w:szCs w:val="26"/>
              </w:rPr>
              <w:t>тавляемых образовательных услуг</w:t>
            </w:r>
          </w:p>
          <w:p w:rsidR="00B41AFF" w:rsidRPr="000F2D3E" w:rsidRDefault="00B41AFF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дошкольного</w:t>
            </w:r>
            <w:r w:rsidR="00967F66" w:rsidRPr="000F2D3E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1C6756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по общеобразовательным программам;</w:t>
            </w:r>
          </w:p>
          <w:p w:rsidR="00BD2604" w:rsidRPr="000F2D3E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</w:t>
            </w:r>
            <w:r w:rsidR="0035747C" w:rsidRPr="000F2D3E"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00DF5" w:rsidRDefault="00BD2604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обеспеченность педагогическими кадрами образовательных учреждений Д</w:t>
            </w:r>
            <w:r w:rsidR="009F5C32" w:rsidRPr="000F2D3E">
              <w:rPr>
                <w:rFonts w:ascii="Times New Roman" w:hAnsi="Times New Roman"/>
                <w:sz w:val="26"/>
                <w:szCs w:val="26"/>
              </w:rPr>
              <w:t>альнегорского городского округа</w:t>
            </w:r>
          </w:p>
          <w:p w:rsidR="00D86C41" w:rsidRPr="000F2D3E" w:rsidRDefault="00D86C41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0C7B75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="00BD2604"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3 978 529,22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proofErr w:type="gramStart"/>
            <w:r w:rsidRPr="00B571D3">
              <w:rPr>
                <w:rFonts w:ascii="Times New Roman" w:hAnsi="Times New Roman"/>
                <w:sz w:val="26"/>
                <w:szCs w:val="26"/>
              </w:rPr>
              <w:t>привлекаемые</w:t>
            </w:r>
            <w:proofErr w:type="gramEnd"/>
            <w:r w:rsidRPr="00B571D3">
              <w:rPr>
                <w:rFonts w:ascii="Times New Roman" w:hAnsi="Times New Roman"/>
                <w:sz w:val="26"/>
                <w:szCs w:val="26"/>
              </w:rPr>
              <w:t xml:space="preserve"> из: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2D4ED6">
              <w:rPr>
                <w:rFonts w:ascii="Times New Roman" w:hAnsi="Times New Roman"/>
                <w:sz w:val="26"/>
                <w:szCs w:val="26"/>
              </w:rPr>
              <w:t>35 066,19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3 079,0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F41A1D" w:rsidRPr="00B571D3">
              <w:rPr>
                <w:rFonts w:ascii="Times New Roman" w:hAnsi="Times New Roman"/>
                <w:sz w:val="26"/>
                <w:szCs w:val="26"/>
              </w:rPr>
              <w:t>2 807,2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16A48" w:rsidRPr="00B571D3" w:rsidRDefault="00916A48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D4ED6">
              <w:rPr>
                <w:rFonts w:ascii="Times New Roman" w:hAnsi="Times New Roman"/>
                <w:sz w:val="26"/>
                <w:szCs w:val="26"/>
              </w:rPr>
              <w:t>29 180,20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 w:rsidR="00703661">
              <w:rPr>
                <w:rFonts w:ascii="Times New Roman" w:hAnsi="Times New Roman"/>
                <w:sz w:val="26"/>
                <w:szCs w:val="26"/>
              </w:rPr>
              <w:t> </w:t>
            </w:r>
            <w:r w:rsidR="00DC5A03">
              <w:rPr>
                <w:rFonts w:ascii="Times New Roman" w:hAnsi="Times New Roman"/>
                <w:sz w:val="26"/>
                <w:szCs w:val="26"/>
              </w:rPr>
              <w:t>567</w:t>
            </w:r>
            <w:r w:rsidR="00703661">
              <w:rPr>
                <w:rFonts w:ascii="Times New Roman" w:hAnsi="Times New Roman"/>
                <w:sz w:val="26"/>
                <w:szCs w:val="26"/>
              </w:rPr>
              <w:t xml:space="preserve"> 108,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508 878,1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694</w:t>
            </w:r>
            <w:r w:rsidR="00703661">
              <w:rPr>
                <w:rFonts w:ascii="Times New Roman" w:hAnsi="Times New Roman"/>
                <w:sz w:val="26"/>
                <w:szCs w:val="26"/>
              </w:rPr>
              <w:t> 139,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7</w:t>
            </w:r>
            <w:r w:rsidR="00916A48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488 501,</w:t>
            </w:r>
            <w:r w:rsidR="00C20330">
              <w:rPr>
                <w:rFonts w:ascii="Times New Roman" w:hAnsi="Times New Roman"/>
                <w:sz w:val="26"/>
                <w:szCs w:val="26"/>
              </w:rPr>
              <w:t>3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488 501,</w:t>
            </w:r>
            <w:r w:rsidR="00EA406E">
              <w:rPr>
                <w:rFonts w:ascii="Times New Roman" w:hAnsi="Times New Roman"/>
                <w:sz w:val="26"/>
                <w:szCs w:val="26"/>
              </w:rPr>
              <w:t>4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DD73D5" w:rsidRPr="00B571D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F4AB4">
              <w:rPr>
                <w:rFonts w:eastAsia="Calibri"/>
                <w:sz w:val="26"/>
                <w:szCs w:val="26"/>
                <w:lang w:eastAsia="en-US"/>
              </w:rPr>
              <w:t> 15</w:t>
            </w:r>
            <w:r w:rsidR="00DC5A03">
              <w:rPr>
                <w:rFonts w:eastAsia="Calibri"/>
                <w:sz w:val="26"/>
                <w:szCs w:val="26"/>
                <w:lang w:eastAsia="en-US"/>
              </w:rPr>
              <w:t>3 733,0</w:t>
            </w:r>
            <w:r w:rsidR="0024167A" w:rsidRPr="00B571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>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242 624,7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C5A03">
              <w:rPr>
                <w:rFonts w:ascii="Times New Roman" w:hAnsi="Times New Roman"/>
                <w:sz w:val="26"/>
                <w:szCs w:val="26"/>
              </w:rPr>
              <w:t>247 810,7</w:t>
            </w:r>
            <w:r w:rsidR="009266B3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460D5" w:rsidRPr="00B571D3">
              <w:rPr>
                <w:rFonts w:ascii="Times New Roman" w:hAnsi="Times New Roman"/>
                <w:sz w:val="26"/>
                <w:szCs w:val="26"/>
              </w:rPr>
              <w:t>227 939,</w:t>
            </w:r>
            <w:r w:rsidR="00DD73D5" w:rsidRPr="00B571D3">
              <w:rPr>
                <w:rFonts w:ascii="Times New Roman" w:hAnsi="Times New Roman"/>
                <w:sz w:val="26"/>
                <w:szCs w:val="26"/>
              </w:rPr>
              <w:t>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68076A" w:rsidRPr="00B571D3">
              <w:rPr>
                <w:rFonts w:ascii="Times New Roman" w:hAnsi="Times New Roman"/>
                <w:sz w:val="26"/>
                <w:szCs w:val="26"/>
              </w:rPr>
              <w:t>219 434,2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внебюджетные средства 222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 622,0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64FC4" w:rsidRPr="00B571D3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D2604" w:rsidRPr="000F2D3E" w:rsidRDefault="00A64FC4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571D3" w:rsidRPr="00B571D3">
              <w:rPr>
                <w:rFonts w:ascii="Times New Roman" w:hAnsi="Times New Roman"/>
                <w:sz w:val="26"/>
                <w:szCs w:val="26"/>
              </w:rPr>
              <w:t>44 546,5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BD2604" w:rsidRPr="000F2D3E" w:rsidTr="00993F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04" w:rsidRPr="000F2D3E" w:rsidRDefault="00BD2604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 xml:space="preserve">- увеличение удовлетворённости населения Дальнегорского городского округа качеством предоставляемых образовательных услуг с 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94,5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201</w:t>
            </w:r>
            <w:r w:rsidR="00AE3D4D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96,0% в 2022 году</w:t>
            </w:r>
            <w:r w:rsidR="000C7B7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8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в 201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98% в 2022 году;</w:t>
            </w:r>
          </w:p>
          <w:p w:rsidR="009F4218" w:rsidRPr="00AA5AA3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5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 % в 201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7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 xml:space="preserve"> году до 95,5% в 2022 году;</w:t>
            </w:r>
          </w:p>
          <w:p w:rsidR="009F4218" w:rsidRPr="0075711A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 xml:space="preserve"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</w:t>
            </w:r>
            <w:r w:rsidR="00AA5AA3" w:rsidRPr="0075711A">
              <w:rPr>
                <w:rFonts w:ascii="Times New Roman" w:hAnsi="Times New Roman"/>
                <w:sz w:val="26"/>
                <w:szCs w:val="26"/>
              </w:rPr>
              <w:t xml:space="preserve">93,2% </w:t>
            </w:r>
            <w:r w:rsidRPr="0075711A"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AA5AA3" w:rsidRPr="0075711A">
              <w:rPr>
                <w:rFonts w:ascii="Times New Roman" w:hAnsi="Times New Roman"/>
                <w:sz w:val="26"/>
                <w:szCs w:val="26"/>
              </w:rPr>
              <w:t>7</w:t>
            </w:r>
            <w:r w:rsidR="0075711A"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9F5C32" w:rsidRDefault="009F4218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</w:t>
            </w:r>
            <w:r w:rsidR="00AA5AA3" w:rsidRPr="00AA5AA3">
              <w:rPr>
                <w:rFonts w:ascii="Times New Roman" w:hAnsi="Times New Roman"/>
                <w:sz w:val="26"/>
                <w:szCs w:val="26"/>
              </w:rPr>
              <w:t>6</w:t>
            </w:r>
            <w:r w:rsidRPr="00AA5AA3">
              <w:rPr>
                <w:rFonts w:ascii="Times New Roman" w:hAnsi="Times New Roman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</w:t>
            </w:r>
            <w:r w:rsidR="00AA5AA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99,8% в 2022 году</w:t>
            </w:r>
            <w:r w:rsidR="00E73C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3CB1" w:rsidRPr="000F2D3E" w:rsidRDefault="00E73CB1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 xml:space="preserve">округе с </w:t>
            </w:r>
            <w:r w:rsidR="00A5326E" w:rsidRPr="00A5326E">
              <w:rPr>
                <w:rFonts w:ascii="Times New Roman" w:hAnsi="Times New Roman"/>
                <w:sz w:val="26"/>
                <w:szCs w:val="26"/>
              </w:rPr>
              <w:t>3,06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 xml:space="preserve">% % в 2017 году до </w:t>
            </w:r>
            <w:r w:rsidR="00A5326E" w:rsidRPr="00A5326E">
              <w:rPr>
                <w:rFonts w:ascii="Times New Roman" w:hAnsi="Times New Roman"/>
                <w:sz w:val="26"/>
                <w:szCs w:val="26"/>
              </w:rPr>
              <w:t>2,94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F641C" w:rsidRDefault="00EF641C" w:rsidP="00EB18C2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65052E">
        <w:rPr>
          <w:rFonts w:ascii="Times New Roman" w:hAnsi="Times New Roman"/>
          <w:sz w:val="26"/>
          <w:szCs w:val="26"/>
        </w:rPr>
        <w:lastRenderedPageBreak/>
        <w:t>Общая характеристика сферы реализации муниципальной программы</w:t>
      </w:r>
      <w:r w:rsidR="00AB2D9F" w:rsidRPr="0065052E">
        <w:rPr>
          <w:rFonts w:ascii="Times New Roman" w:hAnsi="Times New Roman"/>
          <w:sz w:val="26"/>
          <w:szCs w:val="26"/>
        </w:rPr>
        <w:t xml:space="preserve">, основные проблемы </w:t>
      </w:r>
      <w:r w:rsidR="00BB2AC2" w:rsidRPr="0065052E">
        <w:rPr>
          <w:rFonts w:ascii="Times New Roman" w:hAnsi="Times New Roman"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proofErr w:type="gramEnd"/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930"/>
        <w:gridCol w:w="991"/>
        <w:gridCol w:w="850"/>
        <w:gridCol w:w="991"/>
        <w:gridCol w:w="1135"/>
        <w:gridCol w:w="1135"/>
        <w:gridCol w:w="1276"/>
        <w:gridCol w:w="1020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12"/>
        <w:gridCol w:w="1490"/>
        <w:gridCol w:w="1354"/>
        <w:gridCol w:w="1354"/>
        <w:gridCol w:w="1354"/>
        <w:gridCol w:w="1490"/>
      </w:tblGrid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DF5085">
        <w:tc>
          <w:tcPr>
            <w:tcW w:w="142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</w:t>
            </w:r>
            <w:proofErr w:type="gramStart"/>
            <w:r w:rsidRPr="00DF50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proofErr w:type="gramStart"/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</w:t>
      </w:r>
      <w:proofErr w:type="gramEnd"/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 xml:space="preserve">полномочиям </w:t>
      </w:r>
      <w:r w:rsidR="00EF641C" w:rsidRPr="001E1A64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>В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1A64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Лилия Васильевна (ИП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</w:t>
      </w:r>
      <w:proofErr w:type="spellStart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молочно</w:t>
      </w:r>
      <w:proofErr w:type="spellEnd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A777E">
        <w:rPr>
          <w:rFonts w:ascii="Times New Roman" w:hAnsi="Times New Roman"/>
          <w:sz w:val="26"/>
          <w:szCs w:val="26"/>
          <w:lang w:eastAsia="ru-RU"/>
        </w:rPr>
        <w:t>На конец</w:t>
      </w:r>
      <w:proofErr w:type="gramEnd"/>
      <w:r w:rsidRPr="006A777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proofErr w:type="spellStart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proofErr w:type="spellEnd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</w:t>
      </w:r>
      <w:proofErr w:type="spellStart"/>
      <w:r w:rsidRPr="00E66021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E66021">
        <w:rPr>
          <w:rFonts w:ascii="Times New Roman" w:hAnsi="Times New Roman"/>
          <w:sz w:val="26"/>
          <w:szCs w:val="26"/>
        </w:rPr>
        <w:t xml:space="preserve">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на сегодняшний день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021">
        <w:rPr>
          <w:rFonts w:ascii="Times New Roman" w:eastAsia="Times New Roman" w:hAnsi="Times New Roman"/>
          <w:sz w:val="26"/>
          <w:szCs w:val="26"/>
        </w:rPr>
        <w:lastRenderedPageBreak/>
        <w:t xml:space="preserve">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межпредметные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воспитательно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-образовательный</w:t>
      </w:r>
      <w:proofErr w:type="gramEnd"/>
      <w:r w:rsidRPr="006F39D3">
        <w:rPr>
          <w:rFonts w:ascii="Times New Roman" w:eastAsia="Times New Roman" w:hAnsi="Times New Roman"/>
          <w:sz w:val="26"/>
          <w:szCs w:val="26"/>
        </w:rPr>
        <w:t xml:space="preserve">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proofErr w:type="gramStart"/>
      <w:r w:rsidR="00C348B0" w:rsidRPr="006F39D3">
        <w:rPr>
          <w:rFonts w:ascii="Times New Roman" w:eastAsia="Times New Roman" w:hAnsi="Times New Roman"/>
          <w:sz w:val="26"/>
          <w:szCs w:val="26"/>
        </w:rPr>
        <w:t>педагогам</w:t>
      </w:r>
      <w:proofErr w:type="gramEnd"/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психолого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отклонений в поведении детей,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психокоррекционная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  <w:proofErr w:type="gramEnd"/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  <w:proofErr w:type="gramEnd"/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недостаток развивающих образовательных программ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потребность в обеспечении безопасной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необходимость в развитии и обновлении профессиональных компетенций работников образования в области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деятельностной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незавершён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EF641C" w:rsidRPr="00D20FB4" w:rsidRDefault="00EF641C" w:rsidP="008B4416">
      <w:pPr>
        <w:numPr>
          <w:ilvl w:val="0"/>
          <w:numId w:val="1"/>
        </w:numPr>
        <w:spacing w:before="240" w:after="240"/>
        <w:ind w:left="1135" w:hanging="284"/>
        <w:jc w:val="center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D20FB4">
        <w:rPr>
          <w:rFonts w:ascii="Times New Roman" w:hAnsi="Times New Roman"/>
          <w:sz w:val="26"/>
          <w:szCs w:val="26"/>
        </w:rPr>
        <w:t xml:space="preserve"> задачи 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</w:t>
      </w:r>
      <w:proofErr w:type="gramEnd"/>
      <w:r w:rsidRPr="00D20F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0FB4">
        <w:rPr>
          <w:rFonts w:ascii="Times New Roman" w:hAnsi="Times New Roman"/>
          <w:sz w:val="26"/>
          <w:szCs w:val="26"/>
        </w:rPr>
        <w:t>Президента Российской Федерации Федеральному Собранию Российской Федерации, Стратегией социально-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  <w:proofErr w:type="gramEnd"/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Pr="004270EF" w:rsidRDefault="00DB4B25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AE0909" w:rsidRDefault="00E114D3" w:rsidP="008B441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924" w:hanging="357"/>
        <w:jc w:val="center"/>
        <w:rPr>
          <w:sz w:val="26"/>
          <w:szCs w:val="26"/>
        </w:rPr>
      </w:pPr>
      <w:r>
        <w:rPr>
          <w:sz w:val="26"/>
          <w:szCs w:val="26"/>
        </w:rPr>
        <w:t>Индикаторы</w:t>
      </w:r>
      <w:r w:rsidR="00EF641C" w:rsidRPr="00AE0909">
        <w:rPr>
          <w:sz w:val="26"/>
          <w:szCs w:val="26"/>
        </w:rPr>
        <w:t>, пок</w:t>
      </w:r>
      <w:r w:rsidR="00967716" w:rsidRPr="00AE0909">
        <w:rPr>
          <w:sz w:val="26"/>
          <w:szCs w:val="26"/>
        </w:rPr>
        <w:t>азатели муниципальной программы</w:t>
      </w:r>
    </w:p>
    <w:p w:rsidR="00EF641C" w:rsidRPr="004270EF" w:rsidRDefault="00DC259D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0F2D3E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0F2D3E">
        <w:rPr>
          <w:rFonts w:ascii="Times New Roman" w:hAnsi="Times New Roman"/>
          <w:sz w:val="26"/>
          <w:szCs w:val="26"/>
        </w:rPr>
        <w:t xml:space="preserve">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EF641C" w:rsidRPr="004736C6" w:rsidRDefault="00EF641C" w:rsidP="008B4416">
      <w:pPr>
        <w:pStyle w:val="ac"/>
        <w:numPr>
          <w:ilvl w:val="0"/>
          <w:numId w:val="1"/>
        </w:numPr>
        <w:spacing w:before="100" w:beforeAutospacing="1" w:line="276" w:lineRule="auto"/>
        <w:ind w:left="714" w:hanging="357"/>
        <w:jc w:val="center"/>
        <w:rPr>
          <w:sz w:val="26"/>
          <w:szCs w:val="26"/>
        </w:rPr>
      </w:pPr>
      <w:r w:rsidRPr="004736C6">
        <w:rPr>
          <w:sz w:val="26"/>
          <w:szCs w:val="26"/>
        </w:rPr>
        <w:t xml:space="preserve">Обобщенная характеристика </w:t>
      </w:r>
      <w:proofErr w:type="gramStart"/>
      <w:r w:rsidRPr="004736C6">
        <w:rPr>
          <w:sz w:val="26"/>
          <w:szCs w:val="26"/>
        </w:rPr>
        <w:t>реализуемых</w:t>
      </w:r>
      <w:proofErr w:type="gramEnd"/>
      <w:r w:rsidRPr="004736C6">
        <w:rPr>
          <w:sz w:val="26"/>
          <w:szCs w:val="26"/>
        </w:rPr>
        <w:t xml:space="preserve"> в составе муниципальной </w:t>
      </w:r>
    </w:p>
    <w:p w:rsidR="00EF641C" w:rsidRDefault="00EF641C" w:rsidP="008B4416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программы подп</w:t>
      </w:r>
      <w:r w:rsidR="00967716">
        <w:rPr>
          <w:rFonts w:ascii="Times New Roman" w:hAnsi="Times New Roman"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расходы на обеспечение </w:t>
      </w:r>
      <w:proofErr w:type="gramStart"/>
      <w:r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EF641C" w:rsidRPr="00CF080B" w:rsidRDefault="00EF641C" w:rsidP="008B4416">
      <w:pPr>
        <w:pStyle w:val="ac"/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jc w:val="center"/>
        <w:rPr>
          <w:sz w:val="26"/>
          <w:szCs w:val="26"/>
        </w:rPr>
      </w:pPr>
      <w:r w:rsidRPr="00CF080B">
        <w:rPr>
          <w:sz w:val="26"/>
          <w:szCs w:val="26"/>
        </w:rPr>
        <w:lastRenderedPageBreak/>
        <w:t>Механизм реа</w:t>
      </w:r>
      <w:r w:rsidR="00967716" w:rsidRPr="00CF080B">
        <w:rPr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 xml:space="preserve">асходы на обеспечение </w:t>
      </w:r>
      <w:proofErr w:type="gramStart"/>
      <w:r w:rsidR="00EF641C"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="00EF641C"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</w:t>
      </w:r>
      <w:proofErr w:type="gramStart"/>
      <w:r w:rsidRPr="004270EF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4270EF">
        <w:rPr>
          <w:rFonts w:ascii="Times New Roman" w:hAnsi="Times New Roman"/>
          <w:sz w:val="26"/>
          <w:szCs w:val="26"/>
        </w:rPr>
        <w:t>.</w:t>
      </w:r>
    </w:p>
    <w:p w:rsidR="00EF641C" w:rsidRPr="005F27BD" w:rsidRDefault="00EF641C" w:rsidP="005F27B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5F27BD">
        <w:rPr>
          <w:sz w:val="26"/>
          <w:szCs w:val="26"/>
        </w:rPr>
        <w:t>Оценка применения мер государственного регулирования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в сфере реализации муниципальной программы и сведения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об основных мерах правового регулирования в сфере реализации</w:t>
      </w:r>
      <w:r w:rsidR="00DF5085" w:rsidRPr="005F27BD">
        <w:rPr>
          <w:sz w:val="26"/>
          <w:szCs w:val="26"/>
        </w:rPr>
        <w:t xml:space="preserve"> </w:t>
      </w:r>
      <w:r w:rsidR="00BB2AC2" w:rsidRPr="005F27BD">
        <w:rPr>
          <w:sz w:val="26"/>
          <w:szCs w:val="26"/>
        </w:rPr>
        <w:t xml:space="preserve"> муниципальной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не требует применения </w:t>
      </w:r>
      <w:r w:rsidRPr="004270EF">
        <w:rPr>
          <w:rFonts w:ascii="Times New Roman" w:hAnsi="Times New Roman"/>
          <w:sz w:val="26"/>
          <w:szCs w:val="26"/>
        </w:rPr>
        <w:lastRenderedPageBreak/>
        <w:t>мер правового регулирования.</w:t>
      </w:r>
    </w:p>
    <w:p w:rsidR="00EF641C" w:rsidRDefault="00DC259D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cs="Calibri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4270EF">
        <w:rPr>
          <w:rFonts w:cs="Calibri"/>
          <w:sz w:val="26"/>
          <w:szCs w:val="26"/>
        </w:rPr>
        <w:t>.</w:t>
      </w:r>
    </w:p>
    <w:p w:rsidR="00A73C22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7. </w:t>
      </w:r>
      <w:hyperlink w:anchor="Par3765" w:history="1">
        <w:r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на оказание муниципальных услуг (выполнение работ) муниципальными бюджетными и автономными учреждениями Дальнегорского  городского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округа</w:t>
      </w:r>
      <w:r w:rsidR="00A73C22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по муниципальной п</w:t>
      </w:r>
      <w:r w:rsidR="00967716">
        <w:rPr>
          <w:rFonts w:ascii="Times New Roman" w:hAnsi="Times New Roman"/>
          <w:sz w:val="26"/>
          <w:szCs w:val="26"/>
        </w:rPr>
        <w:t>рограмме</w:t>
      </w:r>
    </w:p>
    <w:p w:rsidR="00EF641C" w:rsidRDefault="00DC259D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8. Ресурсное обеспечение реализации муниципальной программы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за счёт средств бюджета Д</w:t>
      </w:r>
      <w:r w:rsidR="00967716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41555F">
        <w:rPr>
          <w:rFonts w:ascii="Times New Roman" w:hAnsi="Times New Roman"/>
          <w:sz w:val="26"/>
          <w:szCs w:val="26"/>
        </w:rPr>
        <w:t>, средств федерального, краевого бюджетов</w:t>
      </w:r>
      <w:r w:rsidR="002150D0">
        <w:rPr>
          <w:rFonts w:ascii="Times New Roman" w:hAnsi="Times New Roman"/>
          <w:sz w:val="26"/>
          <w:szCs w:val="26"/>
        </w:rPr>
        <w:t>, иных внебюджетных источников</w:t>
      </w:r>
    </w:p>
    <w:p w:rsidR="00EF641C" w:rsidRPr="00AB468D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7201AE" w:rsidRPr="00B571D3" w:rsidRDefault="00EA3C47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</w:t>
      </w:r>
      <w:r w:rsidR="00A64FC4" w:rsidRPr="00AB468D">
        <w:rPr>
          <w:rFonts w:ascii="Times New Roman" w:hAnsi="Times New Roman"/>
          <w:sz w:val="26"/>
          <w:szCs w:val="26"/>
        </w:rPr>
        <w:t xml:space="preserve">общий объем бюджетных </w:t>
      </w:r>
      <w:r w:rsidR="00A64FC4" w:rsidRPr="00350B8B">
        <w:rPr>
          <w:rFonts w:ascii="Times New Roman" w:hAnsi="Times New Roman"/>
          <w:sz w:val="26"/>
          <w:szCs w:val="26"/>
        </w:rPr>
        <w:t xml:space="preserve">ассигнований </w:t>
      </w:r>
      <w:r w:rsidR="00A20158" w:rsidRPr="00350B8B">
        <w:rPr>
          <w:rFonts w:ascii="Times New Roman" w:hAnsi="Times New Roman"/>
          <w:sz w:val="26"/>
          <w:szCs w:val="26"/>
        </w:rPr>
        <w:t xml:space="preserve">               </w:t>
      </w:r>
      <w:r w:rsidR="007201AE">
        <w:rPr>
          <w:rFonts w:ascii="Times New Roman" w:hAnsi="Times New Roman"/>
          <w:sz w:val="26"/>
          <w:szCs w:val="26"/>
        </w:rPr>
        <w:t>3 978 529,22</w:t>
      </w:r>
      <w:r w:rsidR="007201AE" w:rsidRPr="00B571D3">
        <w:rPr>
          <w:rFonts w:ascii="Times New Roman" w:hAnsi="Times New Roman"/>
          <w:sz w:val="26"/>
          <w:szCs w:val="26"/>
        </w:rPr>
        <w:t xml:space="preserve"> тыс. рублей, в том числе привлекаемые </w:t>
      </w:r>
      <w:proofErr w:type="gramStart"/>
      <w:r w:rsidR="007201AE" w:rsidRPr="00B571D3">
        <w:rPr>
          <w:rFonts w:ascii="Times New Roman" w:hAnsi="Times New Roman"/>
          <w:sz w:val="26"/>
          <w:szCs w:val="26"/>
        </w:rPr>
        <w:t>из</w:t>
      </w:r>
      <w:proofErr w:type="gramEnd"/>
      <w:r w:rsidR="007201AE" w:rsidRPr="00B571D3">
        <w:rPr>
          <w:rFonts w:ascii="Times New Roman" w:hAnsi="Times New Roman"/>
          <w:sz w:val="26"/>
          <w:szCs w:val="26"/>
        </w:rPr>
        <w:t>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>34 356,8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3 079,0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2 807,2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28 470,6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краевого бюджета 2</w:t>
      </w:r>
      <w:r>
        <w:rPr>
          <w:rFonts w:ascii="Times New Roman" w:hAnsi="Times New Roman"/>
          <w:sz w:val="26"/>
          <w:szCs w:val="26"/>
        </w:rPr>
        <w:t> 567</w:t>
      </w:r>
      <w:r w:rsidR="00DF3271">
        <w:rPr>
          <w:rFonts w:ascii="Times New Roman" w:hAnsi="Times New Roman"/>
          <w:sz w:val="26"/>
          <w:szCs w:val="26"/>
        </w:rPr>
        <w:t> 108,0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694</w:t>
      </w:r>
      <w:r w:rsidR="00DF3271">
        <w:rPr>
          <w:rFonts w:ascii="Times New Roman" w:hAnsi="Times New Roman"/>
          <w:sz w:val="26"/>
          <w:szCs w:val="26"/>
        </w:rPr>
        <w:t> 139,7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  <w:bookmarkStart w:id="1" w:name="_GoBack"/>
      <w:bookmarkEnd w:id="1"/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7201AE" w:rsidRPr="00B571D3" w:rsidRDefault="007201AE" w:rsidP="007201AE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>- бюджета Дальнегорского городского округа 1</w:t>
      </w:r>
      <w:r>
        <w:rPr>
          <w:rFonts w:eastAsia="Calibri"/>
          <w:sz w:val="26"/>
          <w:szCs w:val="26"/>
          <w:lang w:eastAsia="en-US"/>
        </w:rPr>
        <w:t> 153 733,0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247 810,7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227 939,5 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>2022 год – 219 434,2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внебюджетные средства 222 622,0 тыс. рублей: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44 491,3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2020 год – 44 546,5 тыс. рублей;</w:t>
      </w:r>
    </w:p>
    <w:p w:rsidR="007201AE" w:rsidRPr="00B571D3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44 546,5 тыс. рублей;</w:t>
      </w:r>
    </w:p>
    <w:p w:rsidR="007201AE" w:rsidRDefault="007201AE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44 546,5 тыс. рублей.</w:t>
      </w:r>
    </w:p>
    <w:p w:rsidR="00EF641C" w:rsidRPr="004270EF" w:rsidRDefault="00EF641C" w:rsidP="007201AE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F641C" w:rsidRDefault="00EF641C" w:rsidP="007201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9.Сроки и этапы реа</w:t>
      </w:r>
      <w:r w:rsidR="00967716">
        <w:rPr>
          <w:rFonts w:ascii="Times New Roman" w:hAnsi="Times New Roman"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69215A" w:rsidRDefault="00EF641C" w:rsidP="008B4416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82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215A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реа</w:t>
      </w:r>
      <w:r w:rsidR="009576FF" w:rsidRPr="0069215A">
        <w:rPr>
          <w:rFonts w:ascii="Times New Roman" w:eastAsia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</w:t>
      </w:r>
      <w:proofErr w:type="gramStart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10.2.1</w:t>
      </w:r>
      <w:proofErr w:type="gramStart"/>
      <w:r w:rsidRPr="002B0B8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>, 1</w:t>
      </w:r>
      <w:r w:rsidR="00D9160A" w:rsidRPr="00D9160A">
        <w:rPr>
          <w:rFonts w:ascii="Times New Roman" w:hAnsi="Times New Roman"/>
          <w:sz w:val="26"/>
          <w:szCs w:val="26"/>
        </w:rPr>
        <w:t>9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D9160A" w:rsidRPr="00D9160A">
        <w:rPr>
          <w:rFonts w:ascii="Times New Roman" w:hAnsi="Times New Roman"/>
          <w:sz w:val="26"/>
          <w:szCs w:val="26"/>
        </w:rPr>
        <w:t>4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  <w:proofErr w:type="gramEnd"/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</w:t>
      </w:r>
      <w:r w:rsidR="00F81B6D" w:rsidRPr="00956F19">
        <w:rPr>
          <w:rFonts w:ascii="Times New Roman" w:hAnsi="Times New Roman"/>
          <w:sz w:val="26"/>
          <w:szCs w:val="26"/>
        </w:rPr>
        <w:lastRenderedPageBreak/>
        <w:t>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>23</w:t>
      </w:r>
      <w:r w:rsidR="00D9160A" w:rsidRPr="00D9160A">
        <w:rPr>
          <w:rFonts w:ascii="Times New Roman" w:hAnsi="Times New Roman"/>
          <w:sz w:val="26"/>
          <w:szCs w:val="26"/>
        </w:rPr>
        <w:t>,</w:t>
      </w:r>
      <w:r w:rsidR="00D9160A">
        <w:rPr>
          <w:rFonts w:ascii="Times New Roman" w:hAnsi="Times New Roman"/>
          <w:sz w:val="26"/>
          <w:szCs w:val="26"/>
        </w:rPr>
        <w:t xml:space="preserve"> 25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30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48A7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  <w:proofErr w:type="gramEnd"/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</w:t>
      </w:r>
      <w:r w:rsidR="00445678">
        <w:rPr>
          <w:rFonts w:ascii="Times New Roman" w:hAnsi="Times New Roman"/>
          <w:sz w:val="26"/>
          <w:szCs w:val="26"/>
        </w:rPr>
        <w:t xml:space="preserve">, </w:t>
      </w:r>
      <w:r w:rsidR="00D9160A">
        <w:rPr>
          <w:rFonts w:ascii="Times New Roman" w:hAnsi="Times New Roman"/>
          <w:sz w:val="26"/>
          <w:szCs w:val="26"/>
        </w:rPr>
        <w:t>31</w:t>
      </w:r>
      <w:r w:rsidR="00C66E5E" w:rsidRPr="00956F19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9E6E4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фактическое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плановое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70E48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C66E5E">
        <w:rPr>
          <w:rFonts w:ascii="Times New Roman" w:hAnsi="Times New Roman" w:cs="Times New Roman"/>
          <w:sz w:val="26"/>
          <w:szCs w:val="26"/>
        </w:rPr>
        <w:t>суммарное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lastRenderedPageBreak/>
        <w:t xml:space="preserve">- в случае если </w:t>
      </w:r>
      <w:proofErr w:type="spellStart"/>
      <w:proofErr w:type="gramStart"/>
      <w:r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C66E5E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0138E0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proofErr w:type="spellStart"/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proofErr w:type="spellEnd"/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7C1EB1">
      <w:headerReference w:type="default" r:id="rId9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D" w:rsidRDefault="00DC259D" w:rsidP="00AF2FA5">
      <w:pPr>
        <w:spacing w:after="0" w:line="240" w:lineRule="auto"/>
      </w:pPr>
      <w:r>
        <w:separator/>
      </w:r>
    </w:p>
  </w:endnote>
  <w:endnote w:type="continuationSeparator" w:id="0">
    <w:p w:rsidR="00DC259D" w:rsidRDefault="00DC259D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D" w:rsidRDefault="00DC259D" w:rsidP="00AF2FA5">
      <w:pPr>
        <w:spacing w:after="0" w:line="240" w:lineRule="auto"/>
      </w:pPr>
      <w:r>
        <w:separator/>
      </w:r>
    </w:p>
  </w:footnote>
  <w:footnote w:type="continuationSeparator" w:id="0">
    <w:p w:rsidR="00DC259D" w:rsidRDefault="00DC259D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EndPr/>
    <w:sdtContent>
      <w:p w:rsidR="005231FF" w:rsidRDefault="00523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71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6A9B-DE9E-47FD-82F7-7B6C7AD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19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45043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78</cp:revision>
  <cp:lastPrinted>2020-10-22T02:52:00Z</cp:lastPrinted>
  <dcterms:created xsi:type="dcterms:W3CDTF">2020-06-29T03:15:00Z</dcterms:created>
  <dcterms:modified xsi:type="dcterms:W3CDTF">2020-10-26T05:32:00Z</dcterms:modified>
</cp:coreProperties>
</file>