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Теребилова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lastRenderedPageBreak/>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ресурсоснабжающими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 xml:space="preserve">Организовывать своевременное, бесперебойное обеспечение </w:t>
      </w:r>
      <w:r w:rsidR="00EB57DA" w:rsidRPr="00D744B1">
        <w:t>аварийно-диспетчерского обслуживания,</w:t>
      </w:r>
      <w:r w:rsidRPr="00D744B1">
        <w:t xml:space="preserve">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w:t>
      </w:r>
      <w:r w:rsidR="00EB57DA" w:rsidRPr="00D744B1">
        <w:t>неисправности отдельных</w:t>
      </w:r>
      <w:r w:rsidRPr="00D744B1">
        <w:t xml:space="preserve"> частей жилого дома и его оборудования, </w:t>
      </w:r>
      <w:r w:rsidR="00EB57DA" w:rsidRPr="00D744B1">
        <w:t>в сроки,</w:t>
      </w:r>
      <w:r w:rsidRPr="00D744B1">
        <w:t xml:space="preserve">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w:t>
      </w:r>
      <w:r w:rsidRPr="00D744B1">
        <w:rPr>
          <w:noProof/>
        </w:rPr>
        <w:lastRenderedPageBreak/>
        <w:t xml:space="preserve">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00EB57DA" w:rsidRPr="00B2462A">
        <w:rPr>
          <w:rFonts w:eastAsiaTheme="minorHAnsi"/>
          <w:lang w:eastAsia="en-US"/>
        </w:rPr>
        <w:t>)</w:t>
      </w:r>
      <w:r w:rsidR="00EB57DA">
        <w:rPr>
          <w:rFonts w:eastAsiaTheme="minorHAnsi"/>
          <w:lang w:eastAsia="en-US"/>
        </w:rPr>
        <w:t xml:space="preserve"> </w:t>
      </w:r>
      <w:r w:rsidR="00EB57DA" w:rsidRPr="00D744B1">
        <w:rPr>
          <w:rFonts w:eastAsiaTheme="minorHAnsi"/>
          <w:lang w:eastAsia="en-US"/>
        </w:rPr>
        <w:lastRenderedPageBreak/>
        <w:t>составляются</w:t>
      </w:r>
      <w:r w:rsidRPr="00D744B1">
        <w:rPr>
          <w:rFonts w:eastAsiaTheme="minorHAnsi"/>
          <w:lang w:eastAsia="en-US"/>
        </w:rPr>
        <w:t xml:space="preserve"> в 1-</w:t>
      </w:r>
      <w:r w:rsidR="00EB57DA" w:rsidRPr="00D744B1">
        <w:rPr>
          <w:rFonts w:eastAsiaTheme="minorHAnsi"/>
          <w:lang w:eastAsia="en-US"/>
        </w:rPr>
        <w:t>м экземпляре</w:t>
      </w:r>
      <w:r w:rsidRPr="00D744B1">
        <w:rPr>
          <w:rFonts w:eastAsiaTheme="minorHAnsi"/>
          <w:lang w:eastAsia="en-US"/>
        </w:rPr>
        <w:t xml:space="preserve"> и хранятся в управляющей организации. Копии актов, заверенные надлежащим образом руководителем управляющей организации и скрепленные </w:t>
      </w:r>
      <w:r w:rsidR="00EB57DA" w:rsidRPr="00D744B1">
        <w:rPr>
          <w:rFonts w:eastAsiaTheme="minorHAnsi"/>
          <w:lang w:eastAsia="en-US"/>
        </w:rPr>
        <w:t>печатью организации,</w:t>
      </w:r>
      <w:r w:rsidRPr="00D744B1">
        <w:rPr>
          <w:rFonts w:eastAsiaTheme="minorHAnsi"/>
          <w:lang w:eastAsia="en-US"/>
        </w:rPr>
        <w:t xml:space="preserve">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w:t>
      </w:r>
      <w:r w:rsidR="00EB57DA" w:rsidRPr="00D744B1">
        <w:rPr>
          <w:rFonts w:eastAsiaTheme="minorHAnsi"/>
          <w:lang w:eastAsia="en-US"/>
        </w:rPr>
        <w:t>прилагаются копии</w:t>
      </w:r>
      <w:r w:rsidRPr="00D744B1">
        <w:rPr>
          <w:rFonts w:eastAsiaTheme="minorHAnsi"/>
          <w:lang w:eastAsia="en-US"/>
        </w:rPr>
        <w:t xml:space="preserve">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w:t>
      </w:r>
      <w:r w:rsidR="00EB57DA">
        <w:t xml:space="preserve">нанимателя </w:t>
      </w:r>
      <w:r w:rsidR="00EB57DA" w:rsidRPr="00D744B1">
        <w:t>согласовать</w:t>
      </w:r>
      <w:r w:rsidRPr="00D744B1">
        <w:t xml:space="preserve">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xml:space="preserve">.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w:t>
      </w:r>
      <w:r w:rsidRPr="00D744B1">
        <w:rPr>
          <w:noProof/>
        </w:rPr>
        <w:lastRenderedPageBreak/>
        <w:t>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lastRenderedPageBreak/>
        <w:t xml:space="preserve">В случае сдачи помещения внаем (аренду) плата за жилое помещение и коммунальные услуги возлагается на нанимателя (арендатора) в силу пункта 3 части </w:t>
      </w:r>
      <w:r w:rsidR="00EB57DA" w:rsidRPr="00F52E86">
        <w:rPr>
          <w:color w:val="222222"/>
          <w:shd w:val="clear" w:color="auto" w:fill="FFFFFF"/>
        </w:rPr>
        <w:t>2 статьи</w:t>
      </w:r>
      <w:r w:rsidRPr="00F52E86">
        <w:rPr>
          <w:color w:val="222222"/>
          <w:shd w:val="clear" w:color="auto" w:fill="FFFFFF"/>
        </w:rPr>
        <w:t xml:space="preserve">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контактные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помещении(ях),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lastRenderedPageBreak/>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коммунальные услуги</w:t>
      </w:r>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20____ – 20____ гг.________руб/м2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w:t>
      </w:r>
      <w:r w:rsidRPr="00D744B1">
        <w:lastRenderedPageBreak/>
        <w:t>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Не использование собственником помещения(й) не является основанием невнесения платы за жилое помещение и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w:t>
      </w:r>
      <w:bookmarkStart w:id="5" w:name="_GoBack"/>
      <w:bookmarkEnd w:id="5"/>
      <w:r w:rsidRPr="00D744B1">
        <w:rPr>
          <w:rStyle w:val="a5"/>
          <w:rFonts w:ascii="Times New Roman" w:hAnsi="Times New Roman" w:cs="Times New Roman"/>
          <w:noProof/>
          <w:sz w:val="24"/>
          <w:szCs w:val="24"/>
        </w:rPr>
        <w:t>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lastRenderedPageBreak/>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суток  </w:t>
      </w:r>
      <w:r w:rsidRPr="00D744B1">
        <w:rPr>
          <w:snapToGrid w:val="0"/>
        </w:rPr>
        <w:t xml:space="preserve">с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w:t>
      </w:r>
      <w:r w:rsidRPr="00D744B1">
        <w:lastRenderedPageBreak/>
        <w:t xml:space="preserve">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lastRenderedPageBreak/>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B32075"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9.5. </w:t>
      </w:r>
      <w:r w:rsidR="00B32075" w:rsidRPr="00D744B1">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такой догово</w:t>
      </w:r>
      <w:r w:rsidR="00B32075">
        <w:rPr>
          <w:rFonts w:ascii="Times New Roman" w:hAnsi="Times New Roman" w:cs="Times New Roman"/>
          <w:sz w:val="24"/>
          <w:szCs w:val="24"/>
        </w:rPr>
        <w:t xml:space="preserve">р считается продленным на тот же срок и на </w:t>
      </w:r>
      <w:r w:rsidR="00B32075" w:rsidRPr="00D744B1">
        <w:rPr>
          <w:rFonts w:ascii="Times New Roman" w:hAnsi="Times New Roman" w:cs="Times New Roman"/>
          <w:sz w:val="24"/>
          <w:szCs w:val="24"/>
        </w:rPr>
        <w:t>тех же условиях, какие были предусмотрены настоящим договором</w:t>
      </w:r>
      <w:r w:rsidR="00B32075">
        <w:rPr>
          <w:rFonts w:ascii="Times New Roman" w:hAnsi="Times New Roman" w:cs="Times New Roman"/>
          <w:sz w:val="24"/>
          <w:szCs w:val="24"/>
        </w:rPr>
        <w:t>.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r w:rsidR="00B32075" w:rsidRPr="00D744B1">
        <w:rPr>
          <w:rFonts w:ascii="Times New Roman" w:hAnsi="Times New Roman" w:cs="Times New Roman"/>
          <w:sz w:val="24"/>
          <w:szCs w:val="24"/>
        </w:rPr>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w:t>
      </w:r>
      <w:r w:rsidRPr="00D744B1">
        <w:rPr>
          <w:rFonts w:ascii="Times New Roman" w:hAnsi="Times New Roman" w:cs="Times New Roman"/>
          <w:sz w:val="24"/>
          <w:szCs w:val="24"/>
        </w:rPr>
        <w:lastRenderedPageBreak/>
        <w:t xml:space="preserve">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821C70" w:rsidRPr="00731146" w:rsidRDefault="00821C70" w:rsidP="00821C70">
                  <w:pPr>
                    <w:pStyle w:val="a4"/>
                    <w:rPr>
                      <w:rFonts w:ascii="Times New Roman" w:hAnsi="Times New Roman"/>
                      <w:b/>
                      <w:sz w:val="26"/>
                      <w:szCs w:val="26"/>
                    </w:rPr>
                  </w:pPr>
                  <w:r w:rsidRPr="00731146">
                    <w:rPr>
                      <w:rFonts w:ascii="Times New Roman" w:hAnsi="Times New Roman"/>
                      <w:b/>
                      <w:sz w:val="26"/>
                      <w:szCs w:val="26"/>
                    </w:rPr>
                    <w:t xml:space="preserve">Администрация </w:t>
                  </w:r>
                </w:p>
                <w:p w:rsidR="00821C70" w:rsidRPr="00731146" w:rsidRDefault="00821C70" w:rsidP="00821C70">
                  <w:pPr>
                    <w:pStyle w:val="a4"/>
                    <w:rPr>
                      <w:rFonts w:ascii="Times New Roman" w:hAnsi="Times New Roman"/>
                      <w:b/>
                      <w:sz w:val="26"/>
                      <w:szCs w:val="26"/>
                    </w:rPr>
                  </w:pPr>
                  <w:r w:rsidRPr="00731146">
                    <w:rPr>
                      <w:rFonts w:ascii="Times New Roman" w:hAnsi="Times New Roman"/>
                      <w:b/>
                      <w:sz w:val="26"/>
                      <w:szCs w:val="26"/>
                    </w:rPr>
                    <w:t xml:space="preserve">Дальнегорского городского округа </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Юридический адрес:</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692446 г.Дальнегорск, Проспект 50 лет Октября,125</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Банковские реквизиты:</w:t>
                  </w:r>
                </w:p>
                <w:p w:rsidR="00821C70" w:rsidRPr="007F6BB1" w:rsidRDefault="00821C70" w:rsidP="00821C70">
                  <w:pPr>
                    <w:pStyle w:val="a4"/>
                    <w:rPr>
                      <w:rFonts w:ascii="Times New Roman" w:hAnsi="Times New Roman"/>
                      <w:sz w:val="26"/>
                      <w:szCs w:val="26"/>
                    </w:rPr>
                  </w:pPr>
                  <w:r>
                    <w:rPr>
                      <w:rFonts w:ascii="Times New Roman" w:hAnsi="Times New Roman"/>
                      <w:sz w:val="26"/>
                      <w:szCs w:val="26"/>
                    </w:rPr>
                    <w:t>УФК по Приморскому краю (</w:t>
                  </w:r>
                  <w:r w:rsidRPr="007F6BB1">
                    <w:rPr>
                      <w:rFonts w:ascii="Times New Roman" w:hAnsi="Times New Roman"/>
                      <w:sz w:val="26"/>
                      <w:szCs w:val="26"/>
                    </w:rPr>
                    <w:t>Администрация Дальнегорского городского округа)</w:t>
                  </w:r>
                </w:p>
                <w:p w:rsidR="00821C70" w:rsidRDefault="00821C70" w:rsidP="00821C70">
                  <w:pPr>
                    <w:pStyle w:val="a4"/>
                    <w:rPr>
                      <w:rFonts w:ascii="Times New Roman" w:hAnsi="Times New Roman"/>
                    </w:rPr>
                  </w:pPr>
                  <w:r w:rsidRPr="007F6BB1">
                    <w:rPr>
                      <w:rFonts w:ascii="Times New Roman" w:hAnsi="Times New Roman"/>
                    </w:rPr>
                    <w:t>л/с 0</w:t>
                  </w:r>
                  <w:r>
                    <w:rPr>
                      <w:rFonts w:ascii="Times New Roman" w:hAnsi="Times New Roman"/>
                    </w:rPr>
                    <w:t>5</w:t>
                  </w:r>
                  <w:r w:rsidRPr="007F6BB1">
                    <w:rPr>
                      <w:rFonts w:ascii="Times New Roman" w:hAnsi="Times New Roman"/>
                    </w:rPr>
                    <w:t>2</w:t>
                  </w:r>
                  <w:r>
                    <w:rPr>
                      <w:rFonts w:ascii="Times New Roman" w:hAnsi="Times New Roman"/>
                    </w:rPr>
                    <w:t>03018010</w:t>
                  </w:r>
                </w:p>
                <w:p w:rsidR="00821C70" w:rsidRPr="007F6BB1" w:rsidRDefault="00821C70" w:rsidP="00821C70">
                  <w:pPr>
                    <w:pStyle w:val="a4"/>
                    <w:rPr>
                      <w:rFonts w:ascii="Times New Roman" w:hAnsi="Times New Roman"/>
                    </w:rPr>
                  </w:pPr>
                  <w:r w:rsidRPr="007F6BB1">
                    <w:rPr>
                      <w:rFonts w:ascii="Times New Roman" w:hAnsi="Times New Roman"/>
                    </w:rPr>
                    <w:t>ИНН 2505003208 КПП 250501001</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821C70" w:rsidRDefault="00821C70" w:rsidP="00821C70">
                  <w:pPr>
                    <w:pStyle w:val="a4"/>
                    <w:rPr>
                      <w:rFonts w:ascii="Times New Roman" w:hAnsi="Times New Roman"/>
                    </w:rPr>
                  </w:pPr>
                  <w:r>
                    <w:rPr>
                      <w:rFonts w:ascii="Times New Roman" w:hAnsi="Times New Roman"/>
                    </w:rPr>
                    <w:t>Казначейский счет: 03232643057070002000</w:t>
                  </w:r>
                </w:p>
                <w:p w:rsidR="00821C70" w:rsidRPr="007F6BB1" w:rsidRDefault="00821C70" w:rsidP="00821C70">
                  <w:pPr>
                    <w:pStyle w:val="a4"/>
                    <w:rPr>
                      <w:rFonts w:ascii="Times New Roman" w:hAnsi="Times New Roman"/>
                    </w:rPr>
                  </w:pPr>
                  <w:r>
                    <w:rPr>
                      <w:rFonts w:ascii="Times New Roman" w:hAnsi="Times New Roman"/>
                    </w:rPr>
                    <w:t>Единый казначейский счет: 40102810545370000012</w:t>
                  </w:r>
                </w:p>
                <w:p w:rsidR="00821C70" w:rsidRDefault="00821C70" w:rsidP="00821C70">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Pr>
                      <w:rFonts w:ascii="Times New Roman" w:hAnsi="Times New Roman"/>
                      <w:sz w:val="26"/>
                      <w:szCs w:val="26"/>
                    </w:rPr>
                    <w:t xml:space="preserve">//УФК по </w:t>
                  </w:r>
                </w:p>
                <w:p w:rsidR="00821C70" w:rsidRDefault="00821C70" w:rsidP="00821C70">
                  <w:pPr>
                    <w:pStyle w:val="a4"/>
                    <w:rPr>
                      <w:rFonts w:ascii="Times New Roman" w:hAnsi="Times New Roman"/>
                      <w:sz w:val="26"/>
                      <w:szCs w:val="26"/>
                    </w:rPr>
                  </w:pPr>
                  <w:r>
                    <w:rPr>
                      <w:rFonts w:ascii="Times New Roman" w:hAnsi="Times New Roman"/>
                      <w:sz w:val="26"/>
                      <w:szCs w:val="26"/>
                    </w:rPr>
                    <w:t>Приморскому краю</w:t>
                  </w:r>
                </w:p>
                <w:p w:rsidR="00821C70" w:rsidRPr="007F6BB1" w:rsidRDefault="00821C70" w:rsidP="00821C70">
                  <w:pPr>
                    <w:pStyle w:val="a4"/>
                    <w:rPr>
                      <w:rFonts w:ascii="Times New Roman" w:hAnsi="Times New Roman"/>
                      <w:sz w:val="26"/>
                      <w:szCs w:val="26"/>
                    </w:rPr>
                  </w:pPr>
                  <w:r w:rsidRPr="007F6BB1">
                    <w:rPr>
                      <w:rFonts w:ascii="Times New Roman" w:hAnsi="Times New Roman"/>
                      <w:sz w:val="26"/>
                      <w:szCs w:val="26"/>
                    </w:rPr>
                    <w:t>г.Владивосток</w:t>
                  </w:r>
                </w:p>
                <w:p w:rsidR="00821C70" w:rsidRPr="007F6BB1" w:rsidRDefault="00821C70" w:rsidP="00821C70">
                  <w:pPr>
                    <w:pStyle w:val="a4"/>
                    <w:rPr>
                      <w:rFonts w:ascii="Times New Roman" w:hAnsi="Times New Roman"/>
                    </w:rPr>
                  </w:pPr>
                  <w:r w:rsidRPr="007F6BB1">
                    <w:rPr>
                      <w:rFonts w:ascii="Times New Roman" w:hAnsi="Times New Roman"/>
                    </w:rPr>
                    <w:t>БИК 0</w:t>
                  </w:r>
                  <w:r>
                    <w:rPr>
                      <w:rFonts w:ascii="Times New Roman" w:hAnsi="Times New Roman"/>
                    </w:rPr>
                    <w:t>1</w:t>
                  </w:r>
                  <w:r w:rsidRPr="007F6BB1">
                    <w:rPr>
                      <w:rFonts w:ascii="Times New Roman" w:hAnsi="Times New Roman"/>
                    </w:rPr>
                    <w:t>050700</w:t>
                  </w:r>
                  <w:r>
                    <w:rPr>
                      <w:rFonts w:ascii="Times New Roman" w:hAnsi="Times New Roman"/>
                    </w:rPr>
                    <w:t>2</w:t>
                  </w:r>
                </w:p>
                <w:p w:rsidR="001E2BED" w:rsidRDefault="001E2BED" w:rsidP="006E2B25">
                  <w:pPr>
                    <w:rPr>
                      <w:spacing w:val="-6"/>
                    </w:rPr>
                  </w:pPr>
                </w:p>
                <w:p w:rsidR="00731146" w:rsidRPr="00C9726F" w:rsidRDefault="00731146"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А.М. Теребилов</w:t>
                  </w:r>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headerReference w:type="even" r:id="rId7"/>
      <w:headerReference w:type="default" r:id="rId8"/>
      <w:footerReference w:type="even" r:id="rId9"/>
      <w:footerReference w:type="default" r:id="rId10"/>
      <w:headerReference w:type="first" r:id="rId11"/>
      <w:footerReference w:type="first" r:id="rId12"/>
      <w:pgSz w:w="11906" w:h="16838"/>
      <w:pgMar w:top="567" w:right="85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E8" w:rsidRDefault="00E361E8" w:rsidP="00816EAC">
      <w:r>
        <w:separator/>
      </w:r>
    </w:p>
  </w:endnote>
  <w:endnote w:type="continuationSeparator" w:id="0">
    <w:p w:rsidR="00E361E8" w:rsidRDefault="00E361E8" w:rsidP="0081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AC" w:rsidRDefault="00816EA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AC" w:rsidRDefault="00816EAC">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AC" w:rsidRDefault="00816EA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E8" w:rsidRDefault="00E361E8" w:rsidP="00816EAC">
      <w:r>
        <w:separator/>
      </w:r>
    </w:p>
  </w:footnote>
  <w:footnote w:type="continuationSeparator" w:id="0">
    <w:p w:rsidR="00E361E8" w:rsidRDefault="00E361E8" w:rsidP="00816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AC" w:rsidRDefault="00816EA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68183"/>
      <w:docPartObj>
        <w:docPartGallery w:val="Page Numbers (Top of Page)"/>
        <w:docPartUnique/>
      </w:docPartObj>
    </w:sdtPr>
    <w:sdtEndPr/>
    <w:sdtContent>
      <w:p w:rsidR="00816EAC" w:rsidRDefault="00816EAC">
        <w:pPr>
          <w:pStyle w:val="aa"/>
          <w:jc w:val="center"/>
        </w:pPr>
        <w:r>
          <w:fldChar w:fldCharType="begin"/>
        </w:r>
        <w:r>
          <w:instrText>PAGE   \* MERGEFORMAT</w:instrText>
        </w:r>
        <w:r>
          <w:fldChar w:fldCharType="separate"/>
        </w:r>
        <w:r w:rsidR="00EB57DA">
          <w:rPr>
            <w:noProof/>
          </w:rPr>
          <w:t>8</w:t>
        </w:r>
        <w:r>
          <w:fldChar w:fldCharType="end"/>
        </w:r>
      </w:p>
    </w:sdtContent>
  </w:sdt>
  <w:p w:rsidR="00816EAC" w:rsidRDefault="00816EA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AC" w:rsidRDefault="00816EA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1BE"/>
    <w:rsid w:val="00001586"/>
    <w:rsid w:val="00014278"/>
    <w:rsid w:val="000502C4"/>
    <w:rsid w:val="00072126"/>
    <w:rsid w:val="000E363A"/>
    <w:rsid w:val="001264A2"/>
    <w:rsid w:val="001502BB"/>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31146"/>
    <w:rsid w:val="0077765F"/>
    <w:rsid w:val="007A5443"/>
    <w:rsid w:val="007C0BA2"/>
    <w:rsid w:val="00816EAC"/>
    <w:rsid w:val="00821C70"/>
    <w:rsid w:val="00835CCB"/>
    <w:rsid w:val="00847EE2"/>
    <w:rsid w:val="00850D9F"/>
    <w:rsid w:val="00880CA1"/>
    <w:rsid w:val="008D6DF5"/>
    <w:rsid w:val="00916F5D"/>
    <w:rsid w:val="00943DA5"/>
    <w:rsid w:val="00947E19"/>
    <w:rsid w:val="0095271C"/>
    <w:rsid w:val="00965521"/>
    <w:rsid w:val="00986CE1"/>
    <w:rsid w:val="00A525AA"/>
    <w:rsid w:val="00A61436"/>
    <w:rsid w:val="00B07836"/>
    <w:rsid w:val="00B2462A"/>
    <w:rsid w:val="00B301BE"/>
    <w:rsid w:val="00B32075"/>
    <w:rsid w:val="00B56AF1"/>
    <w:rsid w:val="00B654FB"/>
    <w:rsid w:val="00B72C0D"/>
    <w:rsid w:val="00B839AA"/>
    <w:rsid w:val="00BB4070"/>
    <w:rsid w:val="00BC3F5E"/>
    <w:rsid w:val="00BE4F2A"/>
    <w:rsid w:val="00C272B6"/>
    <w:rsid w:val="00C77D71"/>
    <w:rsid w:val="00CB115F"/>
    <w:rsid w:val="00CC2FE2"/>
    <w:rsid w:val="00D504F1"/>
    <w:rsid w:val="00D50E1B"/>
    <w:rsid w:val="00D54587"/>
    <w:rsid w:val="00D94672"/>
    <w:rsid w:val="00DB1A68"/>
    <w:rsid w:val="00DB2982"/>
    <w:rsid w:val="00DF4A43"/>
    <w:rsid w:val="00E360E3"/>
    <w:rsid w:val="00E361E8"/>
    <w:rsid w:val="00E53542"/>
    <w:rsid w:val="00EB53CE"/>
    <w:rsid w:val="00EB57DA"/>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2737C0-FCDB-4FBE-9D48-A20096D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 w:type="paragraph" w:styleId="a8">
    <w:name w:val="Balloon Text"/>
    <w:basedOn w:val="a"/>
    <w:link w:val="a9"/>
    <w:uiPriority w:val="99"/>
    <w:semiHidden/>
    <w:unhideWhenUsed/>
    <w:rsid w:val="00072126"/>
    <w:rPr>
      <w:rFonts w:ascii="Segoe UI" w:hAnsi="Segoe UI" w:cs="Segoe UI"/>
      <w:sz w:val="18"/>
      <w:szCs w:val="18"/>
    </w:rPr>
  </w:style>
  <w:style w:type="character" w:customStyle="1" w:styleId="a9">
    <w:name w:val="Текст выноски Знак"/>
    <w:basedOn w:val="a0"/>
    <w:link w:val="a8"/>
    <w:uiPriority w:val="99"/>
    <w:semiHidden/>
    <w:rsid w:val="00072126"/>
    <w:rPr>
      <w:rFonts w:ascii="Segoe UI" w:eastAsia="Times New Roman" w:hAnsi="Segoe UI" w:cs="Segoe UI"/>
      <w:sz w:val="18"/>
      <w:szCs w:val="18"/>
      <w:lang w:eastAsia="ar-SA"/>
    </w:rPr>
  </w:style>
  <w:style w:type="paragraph" w:styleId="aa">
    <w:name w:val="header"/>
    <w:basedOn w:val="a"/>
    <w:link w:val="ab"/>
    <w:uiPriority w:val="99"/>
    <w:unhideWhenUsed/>
    <w:rsid w:val="00816EAC"/>
    <w:pPr>
      <w:tabs>
        <w:tab w:val="center" w:pos="4677"/>
        <w:tab w:val="right" w:pos="9355"/>
      </w:tabs>
    </w:pPr>
  </w:style>
  <w:style w:type="character" w:customStyle="1" w:styleId="ab">
    <w:name w:val="Верхний колонтитул Знак"/>
    <w:basedOn w:val="a0"/>
    <w:link w:val="aa"/>
    <w:uiPriority w:val="99"/>
    <w:rsid w:val="00816EA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816EAC"/>
    <w:pPr>
      <w:tabs>
        <w:tab w:val="center" w:pos="4677"/>
        <w:tab w:val="right" w:pos="9355"/>
      </w:tabs>
    </w:pPr>
  </w:style>
  <w:style w:type="character" w:customStyle="1" w:styleId="ad">
    <w:name w:val="Нижний колонтитул Знак"/>
    <w:basedOn w:val="a0"/>
    <w:link w:val="ac"/>
    <w:uiPriority w:val="99"/>
    <w:rsid w:val="00816EA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BEC7B40721F764EB7C2C65FA103AA459307FB8566796756064E610AABDBA54F3F9A585C4DC255Ar4n0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12</Pages>
  <Words>6148</Words>
  <Characters>35046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57</cp:revision>
  <cp:lastPrinted>2023-04-21T08:16:00Z</cp:lastPrinted>
  <dcterms:created xsi:type="dcterms:W3CDTF">2017-07-31T07:39:00Z</dcterms:created>
  <dcterms:modified xsi:type="dcterms:W3CDTF">2023-08-10T23:21:00Z</dcterms:modified>
</cp:coreProperties>
</file>