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7"/>
        <w:gridCol w:w="3684"/>
        <w:gridCol w:w="1846"/>
        <w:gridCol w:w="1843"/>
        <w:gridCol w:w="1860"/>
        <w:gridCol w:w="416"/>
      </w:tblGrid>
      <w:tr w:rsidR="00E966A5" w:rsidRPr="009549D3" w:rsidTr="007C66D6">
        <w:trPr>
          <w:gridBefore w:val="1"/>
          <w:gridAfter w:val="1"/>
          <w:wBefore w:w="707" w:type="dxa"/>
          <w:wAfter w:w="416" w:type="dxa"/>
          <w:trHeight w:val="495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A5" w:rsidRPr="009549D3" w:rsidRDefault="00E966A5" w:rsidP="0089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Прогноз основных характеристик бюджета Дальнегорского городского округа </w:t>
            </w: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 202</w:t>
            </w:r>
            <w:r w:rsidR="00892F82"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892F82"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892F82"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E966A5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9549D3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9549D3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9549D3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9549D3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966A5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9549D3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9549D3" w:rsidRDefault="00E966A5" w:rsidP="00892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892F82"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9549D3" w:rsidRDefault="00E966A5" w:rsidP="00892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892F82"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9549D3" w:rsidRDefault="00E966A5" w:rsidP="00892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892F82"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объём доходов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1 592 816 438,71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1 702 253 593.36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1 732 324 654,41</w:t>
            </w: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761 036 040,00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809 322 100,00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801 837 220,00</w:t>
            </w: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47 505 446,00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49 004 581,00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49 385 308,00</w:t>
            </w: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784 274 952,71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843 926 912,36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881 102 126,41</w:t>
            </w: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объём расходов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1 595 561 783,18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1 702 253 593,36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1 732 324 654,41</w:t>
            </w: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808 541 486,00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858 326 681,00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851 222 528,00</w:t>
            </w: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48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бюджетов других уровней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784 274 952,71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843 926 912,36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881 102 126,41</w:t>
            </w:r>
          </w:p>
        </w:tc>
      </w:tr>
      <w:tr w:rsidR="00892F82" w:rsidRPr="009549D3" w:rsidTr="00892F82">
        <w:trPr>
          <w:gridBefore w:val="1"/>
          <w:gridAfter w:val="1"/>
          <w:wBefore w:w="707" w:type="dxa"/>
          <w:wAfter w:w="416" w:type="dxa"/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2 745 344,47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82" w:rsidRPr="009549D3" w:rsidRDefault="00892F82" w:rsidP="0089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4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C4FA7" w:rsidRPr="009549D3" w:rsidTr="007C66D6">
        <w:trPr>
          <w:trHeight w:val="645"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A5" w:rsidRPr="009549D3" w:rsidRDefault="00E966A5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66A5" w:rsidRPr="009549D3" w:rsidRDefault="00BF582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9D3">
              <w:rPr>
                <w:noProof/>
                <w:lang w:eastAsia="ru-RU"/>
              </w:rPr>
              <w:drawing>
                <wp:inline distT="0" distB="0" distL="0" distR="0" wp14:anchorId="1BF5C2D1" wp14:editId="24552C1C">
                  <wp:extent cx="5886450" cy="32194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BF5827" w:rsidRPr="009549D3" w:rsidRDefault="00BF582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1B46" w:rsidRPr="009549D3" w:rsidRDefault="00BF5827" w:rsidP="0035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9D3">
              <w:rPr>
                <w:noProof/>
                <w:lang w:eastAsia="ru-RU"/>
              </w:rPr>
              <w:drawing>
                <wp:inline distT="0" distB="0" distL="0" distR="0" wp14:anchorId="643B1BAC" wp14:editId="2EA8AFC8">
                  <wp:extent cx="5867400" cy="2895600"/>
                  <wp:effectExtent l="38100" t="57150" r="38100" b="3810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61B46" w:rsidRDefault="00A61B46" w:rsidP="00356B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61B46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67F79"/>
    <w:rsid w:val="00090568"/>
    <w:rsid w:val="000E247E"/>
    <w:rsid w:val="00225D83"/>
    <w:rsid w:val="00345052"/>
    <w:rsid w:val="00356B64"/>
    <w:rsid w:val="006C4FA7"/>
    <w:rsid w:val="007C66D6"/>
    <w:rsid w:val="00826F8F"/>
    <w:rsid w:val="00871346"/>
    <w:rsid w:val="00892F82"/>
    <w:rsid w:val="009549D3"/>
    <w:rsid w:val="009B4468"/>
    <w:rsid w:val="009B7951"/>
    <w:rsid w:val="00A61B46"/>
    <w:rsid w:val="00BF5827"/>
    <w:rsid w:val="00E47DA4"/>
    <w:rsid w:val="00E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9C8A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1\Findept\&#1051;&#1048;&#1063;&#1053;&#1067;&#1045;%20&#1055;&#1040;&#1055;&#1050;&#1048;\&#1055;&#1048;&#1053;&#1057;&#1050;&#1040;&#1071;%20&#1043;.&#1055;\&#1056;&#1072;&#1073;&#1086;&#1095;&#1072;&#1103;%20&#1076;&#1086;&#1082;&#1091;&#1084;&#1077;&#1085;&#1090;&#1072;&#1094;&#1080;&#1103;\&#1055;&#1088;&#1086;&#1077;&#1082;&#1090;%20&#1073;&#1102;&#1076;&#1078;&#1077;&#1090;&#1072;%20&#1044;&#1043;&#1054;%20&#1085;&#1072;%202023-2025%20&#1075;&#1075;\&#1087;&#1088;&#1086;&#1077;&#1082;&#1090;%20&#1073;&#1102;&#1076;&#1078;&#1077;&#1090;&#1072;%202023-202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1\Findept\&#1051;&#1048;&#1063;&#1053;&#1067;&#1045;%20&#1055;&#1040;&#1055;&#1050;&#1048;\&#1055;&#1048;&#1053;&#1057;&#1050;&#1040;&#1071;%20&#1043;.&#1055;\&#1056;&#1072;&#1073;&#1086;&#1095;&#1072;&#1103;%20&#1076;&#1086;&#1082;&#1091;&#1084;&#1077;&#1085;&#1090;&#1072;&#1094;&#1080;&#1103;\&#1055;&#1088;&#1086;&#1077;&#1082;&#1090;%20&#1073;&#1102;&#1076;&#1078;&#1077;&#1090;&#1072;%20&#1044;&#1043;&#1054;%20&#1085;&#1072;%202023-2025%20&#1075;&#1075;\&#1087;&#1088;&#1086;&#1077;&#1082;&#1090;%20&#1073;&#1102;&#1076;&#1078;&#1077;&#1090;&#1072;%202023-202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доходов на 2023 год и плановый период 2024 и 2025 годов</a:t>
            </a:r>
          </a:p>
        </c:rich>
      </c:tx>
      <c:layout>
        <c:manualLayout>
          <c:xMode val="edge"/>
          <c:yMode val="edge"/>
          <c:x val="0.16776155407758497"/>
          <c:y val="3.15581854043392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498591769398233E-2"/>
          <c:y val="0.15559807123348887"/>
          <c:w val="0.88775084440561303"/>
          <c:h val="0.730074500782414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'прогноз основных хар-к'!$A$6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C849-446E-A50C-EB02D7F976DC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849-446E-A50C-EB02D7F976D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'прогноз основных хар-к'!$B$6:$D$6</c:f>
              <c:numCache>
                <c:formatCode>#,##0.00</c:formatCode>
                <c:ptCount val="3"/>
                <c:pt idx="0">
                  <c:v>761036040</c:v>
                </c:pt>
                <c:pt idx="1">
                  <c:v>809322100</c:v>
                </c:pt>
                <c:pt idx="2">
                  <c:v>801837220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49-446E-A50C-EB02D7F976DC}"/>
            </c:ext>
          </c:extLst>
        </c:ser>
        <c:ser>
          <c:idx val="1"/>
          <c:order val="1"/>
          <c:tx>
            <c:strRef>
              <c:f>'прогноз основных хар-к'!$A$7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849-446E-A50C-EB02D7F976DC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C849-446E-A50C-EB02D7F976D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'прогноз основных хар-к'!$B$7:$D$7</c:f>
              <c:numCache>
                <c:formatCode>#,##0.00</c:formatCode>
                <c:ptCount val="3"/>
                <c:pt idx="0">
                  <c:v>47505446</c:v>
                </c:pt>
                <c:pt idx="1">
                  <c:v>49004581</c:v>
                </c:pt>
                <c:pt idx="2">
                  <c:v>49385308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49-446E-A50C-EB02D7F976DC}"/>
            </c:ext>
          </c:extLst>
        </c:ser>
        <c:ser>
          <c:idx val="2"/>
          <c:order val="2"/>
          <c:tx>
            <c:strRef>
              <c:f>'прогноз основных хар-к'!$A$8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C849-446E-A50C-EB02D7F976DC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849-446E-A50C-EB02D7F976D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'прогноз основных хар-к'!$B$8:$D$8</c:f>
              <c:numCache>
                <c:formatCode>#,##0.00</c:formatCode>
                <c:ptCount val="3"/>
                <c:pt idx="0">
                  <c:v>784274952.71000004</c:v>
                </c:pt>
                <c:pt idx="1">
                  <c:v>843926912.36000001</c:v>
                </c:pt>
                <c:pt idx="2">
                  <c:v>881102126.40999997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849-446E-A50C-EB02D7F97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1300708384"/>
        <c:axId val="1"/>
      </c:barChart>
      <c:catAx>
        <c:axId val="13007083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numFmt formatCode="#,##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070838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056884879681302"/>
          <c:y val="0.90319091770333437"/>
          <c:w val="0.84903277866965654"/>
          <c:h val="5.7269719983226941E-2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расходов на 2023 год и плановый период 2024 и 2025 годов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7420152026451245E-2"/>
          <c:y val="0.16156961861248825"/>
          <c:w val="0.85409499948870027"/>
          <c:h val="0.743204367972521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'прогноз основных хар-к'!$A$12</c:f>
              <c:strCache>
                <c:ptCount val="1"/>
                <c:pt idx="0">
                  <c:v>за счет средств местного бюджета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1B6-4F94-BFF1-E1786D0692CB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1B6-4F94-BFF1-E1786D0692C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'прогноз основных хар-к'!$B$12:$D$12</c:f>
              <c:numCache>
                <c:formatCode>#,##0.00</c:formatCode>
                <c:ptCount val="3"/>
                <c:pt idx="0">
                  <c:v>808541486</c:v>
                </c:pt>
                <c:pt idx="1">
                  <c:v>858326681</c:v>
                </c:pt>
                <c:pt idx="2">
                  <c:v>851222528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B6-4F94-BFF1-E1786D0692CB}"/>
            </c:ext>
          </c:extLst>
        </c:ser>
        <c:ser>
          <c:idx val="1"/>
          <c:order val="1"/>
          <c:tx>
            <c:strRef>
              <c:f>'прогноз основных хар-к'!$A$13</c:f>
              <c:strCache>
                <c:ptCount val="1"/>
                <c:pt idx="0">
                  <c:v>за счет средств бюджетов других уровней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1B6-4F94-BFF1-E1786D0692CB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E1B6-4F94-BFF1-E1786D0692C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'прогноз основных хар-к'!$B$13:$D$13</c:f>
              <c:numCache>
                <c:formatCode>#,##0.00</c:formatCode>
                <c:ptCount val="3"/>
                <c:pt idx="0">
                  <c:v>784274952.71000004</c:v>
                </c:pt>
                <c:pt idx="1">
                  <c:v>843926912.36000001</c:v>
                </c:pt>
                <c:pt idx="2">
                  <c:v>881102126.40999997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B6-4F94-BFF1-E1786D069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0702144"/>
        <c:axId val="1"/>
      </c:barChart>
      <c:catAx>
        <c:axId val="130070214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070214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6.0822510822510827E-2"/>
          <c:y val="0.89473684210526316"/>
          <c:w val="0.9"/>
          <c:h val="7.9311023622047228E-2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metal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msv</cp:lastModifiedBy>
  <cp:revision>13</cp:revision>
  <cp:lastPrinted>2021-10-28T23:52:00Z</cp:lastPrinted>
  <dcterms:created xsi:type="dcterms:W3CDTF">2021-10-28T08:34:00Z</dcterms:created>
  <dcterms:modified xsi:type="dcterms:W3CDTF">2022-10-30T04:27:00Z</dcterms:modified>
</cp:coreProperties>
</file>