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FE" w:rsidRPr="004D6AFE" w:rsidRDefault="004D6AFE" w:rsidP="004D6AFE">
      <w:pPr>
        <w:spacing w:after="0" w:line="240" w:lineRule="auto"/>
        <w:rPr>
          <w:rFonts w:ascii="Courier New" w:eastAsiaTheme="minorEastAsia" w:hAnsi="Courier New" w:cs="Courier New"/>
          <w:vanish/>
          <w:sz w:val="24"/>
          <w:szCs w:val="24"/>
          <w:lang w:val="en-US" w:eastAsia="ru-RU"/>
        </w:rPr>
      </w:pPr>
      <w:bookmarkStart w:id="0" w:name="OLE_LINK3"/>
    </w:p>
    <w:tbl>
      <w:tblPr>
        <w:tblW w:w="9889" w:type="dxa"/>
        <w:tblInd w:w="98" w:type="dxa"/>
        <w:tblLook w:val="04A0"/>
      </w:tblPr>
      <w:tblGrid>
        <w:gridCol w:w="5668"/>
        <w:gridCol w:w="1146"/>
        <w:gridCol w:w="1569"/>
        <w:gridCol w:w="1506"/>
      </w:tblGrid>
      <w:tr w:rsidR="004D6AFE" w:rsidRPr="004D6AFE" w:rsidTr="004D6AFE">
        <w:trPr>
          <w:trHeight w:val="255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70"/>
        </w:trPr>
        <w:tc>
          <w:tcPr>
            <w:tcW w:w="8383" w:type="dxa"/>
            <w:gridSpan w:val="3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b/>
                <w:bCs/>
                <w:sz w:val="27"/>
                <w:szCs w:val="27"/>
                <w:lang w:eastAsia="ru-RU"/>
              </w:rPr>
              <w:t>ПОЯСНИТЕЛЬНАЯ ЗАПИСКА</w:t>
            </w:r>
          </w:p>
        </w:tc>
        <w:tc>
          <w:tcPr>
            <w:tcW w:w="150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300"/>
        </w:trPr>
        <w:tc>
          <w:tcPr>
            <w:tcW w:w="8383" w:type="dxa"/>
            <w:gridSpan w:val="3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b/>
                <w:bCs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b/>
                <w:bCs/>
                <w:lang w:eastAsia="ru-RU"/>
              </w:rPr>
              <w:t>к отчету об исполнении бюджета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КОДЫ</w:t>
            </w:r>
          </w:p>
        </w:tc>
      </w:tr>
      <w:tr w:rsidR="004D6AFE" w:rsidRPr="004D6AFE" w:rsidTr="004D6AFE">
        <w:trPr>
          <w:trHeight w:val="282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0503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lang w:val="en-US" w:eastAsia="ru-RU"/>
              </w:rPr>
              <w:t>3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60</w:t>
            </w:r>
          </w:p>
        </w:tc>
      </w:tr>
      <w:tr w:rsidR="004D6AFE" w:rsidRPr="004D6AFE" w:rsidTr="004D6AFE">
        <w:trPr>
          <w:trHeight w:val="126"/>
        </w:trPr>
        <w:tc>
          <w:tcPr>
            <w:tcW w:w="6814" w:type="dxa"/>
            <w:gridSpan w:val="2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126" w:lineRule="atLeast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на 1 января 20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u w:val="single"/>
                <w:lang w:eastAsia="ru-RU"/>
              </w:rPr>
              <w:t>15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__ г.</w:t>
            </w: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126" w:lineRule="atLeast"/>
              <w:jc w:val="right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126" w:lineRule="atLeast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01.01.2015</w:t>
            </w:r>
          </w:p>
        </w:tc>
      </w:tr>
      <w:tr w:rsidR="004D6AFE" w:rsidRPr="004D6AFE" w:rsidTr="004D6AFE">
        <w:trPr>
          <w:trHeight w:val="214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05934204</w:t>
            </w:r>
          </w:p>
        </w:tc>
      </w:tr>
      <w:tr w:rsidR="004D6AFE" w:rsidRPr="004D6AFE" w:rsidTr="004D6AFE">
        <w:trPr>
          <w:trHeight w:val="198"/>
        </w:trPr>
        <w:tc>
          <w:tcPr>
            <w:tcW w:w="6814" w:type="dxa"/>
            <w:gridSpan w:val="2"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  <w:r w:rsidRPr="004D6AFE">
              <w:rPr>
                <w:rFonts w:ascii="Arial CYR" w:eastAsiaTheme="minorEastAsia" w:hAnsi="Arial CYR" w:cs="Arial CYR"/>
                <w:i/>
                <w:iCs/>
                <w:sz w:val="16"/>
                <w:szCs w:val="16"/>
                <w:u w:val="single"/>
                <w:lang w:eastAsia="ru-RU"/>
              </w:rPr>
              <w:t xml:space="preserve">Финансовое управление администрации </w:t>
            </w:r>
          </w:p>
        </w:tc>
        <w:tc>
          <w:tcPr>
            <w:tcW w:w="1569" w:type="dxa"/>
            <w:vMerge w:val="restart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963</w:t>
            </w:r>
          </w:p>
        </w:tc>
      </w:tr>
      <w:tr w:rsidR="004D6AFE" w:rsidRPr="004D6AFE" w:rsidTr="004D6AFE">
        <w:trPr>
          <w:trHeight w:val="197"/>
        </w:trPr>
        <w:tc>
          <w:tcPr>
            <w:tcW w:w="6814" w:type="dxa"/>
            <w:gridSpan w:val="2"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i/>
                <w:iCs/>
                <w:sz w:val="16"/>
                <w:szCs w:val="16"/>
                <w:u w:val="single"/>
                <w:lang w:eastAsia="ru-RU"/>
              </w:rPr>
              <w:t>Дальнегорского городского округа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0" w:type="auto"/>
            <w:vMerge/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</w:p>
        </w:tc>
      </w:tr>
      <w:tr w:rsidR="004D6AFE" w:rsidRPr="004D6AFE" w:rsidTr="004D6AFE">
        <w:trPr>
          <w:trHeight w:val="152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Наименование бюджета </w:t>
            </w:r>
            <w:r w:rsidRPr="004D6AFE">
              <w:rPr>
                <w:rFonts w:ascii="Arial CYR" w:eastAsiaTheme="minorEastAsia" w:hAnsi="Arial CYR" w:cs="Arial CYR"/>
                <w:i/>
                <w:iCs/>
                <w:sz w:val="16"/>
                <w:szCs w:val="16"/>
                <w:u w:val="single"/>
                <w:lang w:eastAsia="ru-RU"/>
              </w:rPr>
              <w:t>Дальнегорский городской округ</w:t>
            </w: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val="en-US" w:eastAsia="ru-RU"/>
              </w:rPr>
              <w:t>05</w:t>
            </w: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707000</w:t>
            </w:r>
          </w:p>
        </w:tc>
      </w:tr>
      <w:tr w:rsidR="004D6AFE" w:rsidRPr="004D6AFE" w:rsidTr="004D6AFE">
        <w:trPr>
          <w:trHeight w:val="253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 xml:space="preserve">Периодичность: годовая </w:t>
            </w: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82"/>
        </w:trPr>
        <w:tc>
          <w:tcPr>
            <w:tcW w:w="5668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1146" w:type="dxa"/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</w:pPr>
            <w:r w:rsidRPr="004D6AFE">
              <w:rPr>
                <w:rFonts w:ascii="Arial CYR" w:eastAsiaTheme="minorEastAsia" w:hAnsi="Arial CYR" w:cs="Arial CYR"/>
                <w:sz w:val="16"/>
                <w:szCs w:val="16"/>
                <w:lang w:eastAsia="ru-RU"/>
              </w:rPr>
              <w:t>383</w:t>
            </w:r>
          </w:p>
        </w:tc>
      </w:tr>
    </w:tbl>
    <w:p w:rsidR="004D6AFE" w:rsidRPr="004D6AFE" w:rsidRDefault="004D6AFE" w:rsidP="004D6AFE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</w:pPr>
    </w:p>
    <w:p w:rsidR="004D6AFE" w:rsidRPr="004D6AFE" w:rsidRDefault="004D6AFE" w:rsidP="004D6AFE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</w:pPr>
    </w:p>
    <w:p w:rsidR="004D6AFE" w:rsidRPr="004D6AFE" w:rsidRDefault="004D6AFE" w:rsidP="004D6AFE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</w:pPr>
    </w:p>
    <w:p w:rsidR="004D6AFE" w:rsidRPr="00E37ED0" w:rsidRDefault="004D6AFE" w:rsidP="00E37ED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Настоящая пояснительная записка является приложением к бюджетной отчетности по состоянию на 01.01.2015 – Финансового управления администрации Дальнегорского городского округа Приморского края (официально зарегистрированное сокращенное наименование - Финуправление администрации города). Бюджетная отчетность на 01.01.2015 составлена в соответствии с приказом МФ РФ от 23.12.2010г № 191н (далее Инструкция 191н), письмами Департамента Финансов Приморского края и приказом Минфина «Об утверждении единого плана счетов бухгалтерского учета для органов государственной власти и инструкцией по его применению» от 01.12.2010 г. № 157н. (Далее – 157н)</w:t>
      </w:r>
    </w:p>
    <w:p w:rsidR="004D6AFE" w:rsidRPr="00E37ED0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6AFE" w:rsidRPr="00E37ED0" w:rsidRDefault="004D6AFE" w:rsidP="00E37ED0">
      <w:pPr>
        <w:spacing w:after="0" w:line="240" w:lineRule="auto"/>
        <w:ind w:left="720" w:hanging="36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1.Организационная структура Дальнегорского городского округа</w:t>
      </w:r>
    </w:p>
    <w:p w:rsidR="004D6AFE" w:rsidRPr="00E37ED0" w:rsidRDefault="004D6AFE" w:rsidP="00E37E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Дальнегорский городской округ (далее -  ДГО) – это муниципальное образование, в пределах которого осуществляется населением непосредственно или через органы местного самоуправления решение вопросов местного значения Дальнегорского городского округа самостоятельно и под свою ответственность, имеется муниципальная собственность, местный бюджет, выборные и иные органы местного самоуправления и должностные лица местного самоуправления.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соответствии с п. 2 ст. 21 Бюджетного Кодекса РФ в ведомственной структуре решением Думы ДГО от 29.11.2013 № 184 «О бюджете Дальнегорского городского округа на 2014 год и плановый период 2015 и 2016 годов» (Приложение 8) утверждено 7 (семь) главных распорядителей средств бюджета. 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Главные распорядители средств бюджета (далее – ГРБС):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Администрация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Дума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Финансовое управление администрации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Управление муниципального имущества администрации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Контрольно-счетная палата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Управление культуры, спорта и молодежной политики администрации Дальнегорского городского округа: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Управление образования администрации Дальнегорского городского округа.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2014 год и плановый период 2015 и 2016 годов в бюджете утверждено 5 главных администраторов доходов: 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Администрация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Финансовое управление администрации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lastRenderedPageBreak/>
        <w:t>Управление муниципального имущества администрации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Управление культуры, спорта и молодежной политики администрации Дальнегорского городского округа;</w:t>
      </w:r>
    </w:p>
    <w:p w:rsidR="004D6AFE" w:rsidRPr="00E37ED0" w:rsidRDefault="004D6AFE" w:rsidP="00E37ED0">
      <w:pPr>
        <w:pStyle w:val="a6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Управление образования администрации Дальнегорского городского округа.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2014 и плановые периоды 2015-2016 гг. в бюджете утвержден 1 главный администратор источников дефицита бюджета - Финансовое управление администрации Дальнегорского городского округа Приморского края. 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Получатели средств бюджета, подведомственные ГРБС – Администрация Дальнегорского городского округа:</w:t>
      </w:r>
    </w:p>
    <w:p w:rsidR="004D6AFE" w:rsidRPr="00E37ED0" w:rsidRDefault="004D6AFE" w:rsidP="00E37ED0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казенное учреждение «Обслуживающее учреждение»;</w:t>
      </w:r>
    </w:p>
    <w:p w:rsidR="004D6AFE" w:rsidRPr="00E37ED0" w:rsidRDefault="004D6AFE" w:rsidP="00E37ED0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автономное учреждение Дальнегорского городского округа «Многофункциональный центр»;</w:t>
      </w:r>
    </w:p>
    <w:p w:rsidR="004D6AFE" w:rsidRPr="00E37ED0" w:rsidRDefault="004D6AFE" w:rsidP="00E37ED0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автономное учреждение «Центр содействия развитию малого и среднего предпринимательства».</w:t>
      </w:r>
    </w:p>
    <w:p w:rsidR="004D6AFE" w:rsidRPr="00E37ED0" w:rsidRDefault="004D6AFE" w:rsidP="00E37E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Постановлением администрации Дальнегорского городского округа №37-па от 22.01.2014 года установлена подведомственность муниципальных образовательных учреждений, реализующих программы дошкольного образования; начального общего, основного общего, среднего общего образования по основным общеобразовательным программам; дополнительного образования ГРБС - Управление образования администрации Дальнегорского городского округа (31 учреждение).</w:t>
      </w:r>
    </w:p>
    <w:p w:rsidR="004D6AFE" w:rsidRPr="00E37ED0" w:rsidRDefault="004D6AFE" w:rsidP="00E37E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Постановлением администрации Дальнегорского городского округа №38-па от 22.01.2014 года установлена подведомственность муниципальных учреждений культуры, дополнительного образования в сфере культуры, спорта и молодежной политики ГРБС - Управление культуры, спорта и молодежной политики администрации Дальнегорского городского округа (9 учреждений).</w:t>
      </w:r>
    </w:p>
    <w:p w:rsidR="004D6AFE" w:rsidRPr="00E37ED0" w:rsidRDefault="004D6AFE" w:rsidP="00E37ED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Сведения о количестве муниципальных учреждений на территории Дальнегорского городского округа представлены в форме 0503161. </w:t>
      </w:r>
    </w:p>
    <w:p w:rsidR="004D6AFE" w:rsidRPr="00E37ED0" w:rsidRDefault="004D6AFE" w:rsidP="00E37ED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В отчетном периоде не происходили структурные изменения среди состава муниципальных учреждений Дальнегорского городского округа.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 муниципальных унитарных предприятий, расположенных на территории Дальнегорского городского округа:</w:t>
      </w:r>
    </w:p>
    <w:p w:rsidR="004D6AFE" w:rsidRPr="00E37ED0" w:rsidRDefault="004D6AFE" w:rsidP="00E37ED0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унитарное предприятие «Архитектурно-планировочное проектно-производственное бюро»,</w:t>
      </w:r>
    </w:p>
    <w:p w:rsidR="004D6AFE" w:rsidRPr="00E37ED0" w:rsidRDefault="004D6AFE" w:rsidP="00E37ED0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унитарное предприятие «Аптека №152»,</w:t>
      </w:r>
    </w:p>
    <w:p w:rsidR="004D6AFE" w:rsidRPr="00E37ED0" w:rsidRDefault="004D6AFE" w:rsidP="00E37ED0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унитарное предприятие «Редакция газеты «Трудовое слово»</w:t>
      </w:r>
    </w:p>
    <w:p w:rsidR="004D6AFE" w:rsidRPr="00E37ED0" w:rsidRDefault="004D6AFE" w:rsidP="00E37ED0">
      <w:pPr>
        <w:pStyle w:val="a6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E37ED0">
        <w:rPr>
          <w:sz w:val="26"/>
          <w:szCs w:val="26"/>
        </w:rPr>
        <w:t>Муниципальное унитарное предприятие «Мираж» (исключено из Единого государственного реестра юридических лиц 03.03.2014 года (выписка из ЕГРЮЛ № 96)</w:t>
      </w:r>
      <w:r w:rsidR="00E37ED0" w:rsidRPr="00E37ED0">
        <w:rPr>
          <w:sz w:val="26"/>
          <w:szCs w:val="26"/>
        </w:rPr>
        <w:t>)</w:t>
      </w:r>
      <w:r w:rsidRPr="00E37ED0">
        <w:rPr>
          <w:sz w:val="26"/>
          <w:szCs w:val="26"/>
        </w:rPr>
        <w:t>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Финансовая поддержка данным муниципальным предприятиям за 2014 год не оказывалась.</w:t>
      </w:r>
    </w:p>
    <w:p w:rsidR="004D6AFE" w:rsidRPr="00E37ED0" w:rsidRDefault="004D6AFE" w:rsidP="00E37E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E37ED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об основных направлениях деятельности представлены в Таблице 1 Приложения к пояснительной записке.</w:t>
      </w:r>
    </w:p>
    <w:p w:rsidR="004D6AFE" w:rsidRPr="004D6AFE" w:rsidRDefault="004D6AFE" w:rsidP="00E37ED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4D6AFE" w:rsidRDefault="004D6AFE" w:rsidP="004D6AFE">
      <w:pPr>
        <w:spacing w:after="0" w:line="240" w:lineRule="auto"/>
        <w:ind w:left="720" w:hanging="360"/>
        <w:jc w:val="center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4D6AFE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2.Результаты деятельности</w:t>
      </w: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Учреждения Дальнегорского городского округа в своей деятельности руководствовались Конституцией Российской Федерации, Федеральными законами, Бюджетным кодексом,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Администрации Приморского края, Департамента финансов Приморского края, решениями Федеральной службы по труду и занятости и иных федеральных органов исполнительной власти, краевыми законами, Постановлениями и распоряжениями органов местного самоуправления.</w:t>
      </w:r>
      <w:proofErr w:type="gramEnd"/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процессе своей деятельности всеми учреждениями Дальнегорского городского округа применялись меры по повышению эффективности и оценки результативности бюджетных расходов, ориентированных на качество предоставляемых услуг, контролировалось целевое и эффективное расходование бюджетных средств.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Списочная численность работников органов местного самоуправления (муниципальных служащих) по состоянию на 31.12.2014 г. составляет 92 чел. Фактическая численность – 87 чел.</w:t>
      </w:r>
    </w:p>
    <w:p w:rsidR="004D6AFE" w:rsidRPr="00110C74" w:rsidRDefault="004D6AFE" w:rsidP="00110C7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Cambria" w:eastAsia="Times New Roman" w:hAnsi="Cambria" w:cs="Courier New"/>
          <w:b/>
          <w:bCs/>
          <w:color w:val="000000"/>
          <w:kern w:val="36"/>
          <w:sz w:val="26"/>
          <w:szCs w:val="26"/>
          <w:lang w:eastAsia="ru-RU"/>
        </w:rPr>
      </w:pPr>
      <w:proofErr w:type="gramStart"/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мероприятий по повышению эффективности расходования бюджетных средств и в соответствии с Федеральным Законом от 05 апреля 2013г. № 44-ФЗ "О контрактной системе в сфере закупок товаров, работ, услуг для обеспечения государственных и муниципальных нужд", в 2014 году размещено 100 закупок (в том числе в виде котировок 44 шт., в виде электронных аукционов 53 шт. и в виде запроса предложений</w:t>
      </w:r>
      <w:proofErr w:type="gramEnd"/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>3 шт.), экономический эффект от проведения закупок составил 23 630,00 тыс. руб., что представлено в Таблице 2 Приложения к пояснительной записке «Сведения о мерах по повышению эффективности расходования бюджетных средств».</w:t>
      </w:r>
      <w:proofErr w:type="gramEnd"/>
    </w:p>
    <w:p w:rsidR="004D6AFE" w:rsidRPr="00110C74" w:rsidRDefault="004D6AFE" w:rsidP="00110C7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Показатели результативности деятельности, в разрезе плановых и фактических показателей в натуральных и стоимостных выражениях представлены в ф.0503162 «Сведения о результатах деятельности»</w:t>
      </w:r>
      <w:r w:rsidRPr="00110C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.</w:t>
      </w:r>
    </w:p>
    <w:p w:rsidR="004D6AFE" w:rsidRPr="00110C74" w:rsidRDefault="004D6AFE" w:rsidP="00110C7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отчетный период руководителями казенных учреждений принимались меры по повышению квалификации и переподготовке специалистов учреждений. Количество человек, прошедших повышение квалификации, представлено в таблице 2.1.</w:t>
      </w:r>
    </w:p>
    <w:p w:rsidR="004D6AFE" w:rsidRPr="004D6AFE" w:rsidRDefault="004D6AFE" w:rsidP="004D6A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6"/>
          <w:highlight w:val="yellow"/>
          <w:lang w:eastAsia="ru-RU"/>
        </w:rPr>
      </w:pPr>
    </w:p>
    <w:p w:rsidR="004D6AFE" w:rsidRPr="00110C74" w:rsidRDefault="004D6AFE" w:rsidP="004D6AFE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Повышение квалификации работников казенных учреждений за 2014 год</w:t>
      </w:r>
    </w:p>
    <w:p w:rsidR="004D6AFE" w:rsidRPr="004D6AFE" w:rsidRDefault="004D6AFE" w:rsidP="004D6A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</w:pP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b/>
          <w:sz w:val="24"/>
          <w:szCs w:val="26"/>
          <w:lang w:eastAsia="ru-RU"/>
        </w:rPr>
        <w:tab/>
      </w:r>
      <w:proofErr w:type="spellStart"/>
      <w:proofErr w:type="gramStart"/>
      <w:r w:rsidRPr="004D6AFE"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  <w:t>Таблица</w:t>
      </w:r>
      <w:proofErr w:type="spellEnd"/>
      <w:r w:rsidRPr="004D6AFE">
        <w:rPr>
          <w:rFonts w:ascii="Times New Roman" w:eastAsiaTheme="minorEastAsia" w:hAnsi="Times New Roman" w:cs="Times New Roman"/>
          <w:sz w:val="24"/>
          <w:szCs w:val="26"/>
          <w:lang w:val="en-US" w:eastAsia="ru-RU"/>
        </w:rPr>
        <w:t xml:space="preserve"> 2.1.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2266"/>
        <w:gridCol w:w="1744"/>
        <w:gridCol w:w="5314"/>
      </w:tblGrid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человек, повысивших квалификацию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обучения</w:t>
            </w:r>
          </w:p>
        </w:tc>
      </w:tr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Дальнегорского городского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«Обучение по работе в информационной системе «АРМ Платежи», «Актуальные вопросы развития региональных бюджетных систем и информационных технологий в соответствии с концепцией «Электронного бюджета», «Реализация программно-целевых принципов управления бюджетными расходами. Применение бюджетной классификации Российской Федерации в 2014 году»; «Стратегическое планирование социально-экономического развития муниципальных образований в современных условиях»; «Пожарная безопасность»; «Охрана труда»</w:t>
            </w:r>
          </w:p>
        </w:tc>
      </w:tr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 администрации Дальнегорского </w:t>
            </w: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«Управление в сфере закупок товаров, работ, услуг для обеспечения государственных и муниципальных нужд», «Вопросы финансово-экономического развития учреждений культуры и искусства»</w:t>
            </w:r>
          </w:p>
        </w:tc>
      </w:tr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нужд», «Охрана труда», «Совершенствование системы оплаты труда в сфере образования»</w:t>
            </w:r>
          </w:p>
        </w:tc>
      </w:tr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Дальнегорского городского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«Управление в сфере закупок товаров, работ, услуг для обеспечения государственных и муниципальных нужд», «Государственные и муниципальные закупки»</w:t>
            </w:r>
          </w:p>
        </w:tc>
      </w:tr>
      <w:tr w:rsidR="004D6AFE" w:rsidRPr="004D6AFE" w:rsidTr="004D6AFE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Дума Дальнегорского городского округа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«Управление в сфере закупок товаров, работ, услуг для обеспечения государственных и муниципальных нужд»</w:t>
            </w:r>
          </w:p>
        </w:tc>
      </w:tr>
    </w:tbl>
    <w:p w:rsidR="004D6AFE" w:rsidRPr="004D6AFE" w:rsidRDefault="004D6AFE" w:rsidP="004D6AFE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110C74" w:rsidRDefault="004D6AFE" w:rsidP="004D6AFE">
      <w:pPr>
        <w:spacing w:after="0" w:line="240" w:lineRule="auto"/>
        <w:ind w:firstLine="414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3.Анализ отчёта об исполнении бюджета Дальнегорского городского округа</w:t>
      </w:r>
    </w:p>
    <w:p w:rsidR="004D6AFE" w:rsidRPr="00110C74" w:rsidRDefault="004D6AFE" w:rsidP="004D6AFE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6AFE" w:rsidRPr="00110C74" w:rsidRDefault="004D6AFE" w:rsidP="00110C7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 Дальнегорского городского округа утвержден на три года решением Думы от 29.11.2013 № 184 «О бюджете Дальнегорского городского округа на 2014 год и плановый период 2015 и 2016 годов» и вступил в силу с 01.01.2014 года. В течение отчетного периода вносились изменения в решение о бюджете Дальнегорского городского округа.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Основные характеристики первоначально утверждённого бюджета представлены в Таблице 3.1.</w:t>
      </w:r>
    </w:p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Таблица 3.1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Основные характеристики бюджета на 2014 год и плановый период 2015-2016 годы (первоначальные)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В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784"/>
        <w:gridCol w:w="1784"/>
        <w:gridCol w:w="1784"/>
      </w:tblGrid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объем доходов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744 752,63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742 273,91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742 467,19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762 950,51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742 273,91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742 467,19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Размер дефицита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18 197,88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4D6AFE" w:rsidRPr="00110C74" w:rsidRDefault="004D6AFE" w:rsidP="00110C74">
      <w:pPr>
        <w:tabs>
          <w:tab w:val="left" w:pos="0"/>
          <w:tab w:val="left" w:pos="851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учетом изменений, внесённых решениями Думы ДГО от 21.03.2014 № 222, от 25.04.2014 № 230, от 27.06.2014 № 249, от 28.08.2014 № 269, от 25.09.2014 № 279, от 20.11.2014 № 302, от 19.12.2014 № 316 «О внесении изменений в решение Думы Дальнегорского городского округа от 29.11.2013 № 184 «Об утверждении бюджета Дальнегорского городского округа на 2014 год и плановый период 2015 и 2016 годов», основные характеристики бюджета составили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(таблица 3.2.): 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Таблица 3.2.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Основные характеристики бюджета на 2014 год и плановый период 2015-2016 годы (с учётом внесённых изменений)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В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1784"/>
        <w:gridCol w:w="1784"/>
        <w:gridCol w:w="1784"/>
      </w:tblGrid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2014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объем доходов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956 279,04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795 700,76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734 056,19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Общий объем расходов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1 019 009,16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795 700,76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734 056,19</w:t>
            </w:r>
          </w:p>
        </w:tc>
      </w:tr>
      <w:tr w:rsidR="004D6AFE" w:rsidRPr="00110C74" w:rsidTr="004D6A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Размер дефицита бюджета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62 730,13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FE" w:rsidRPr="00110C74" w:rsidRDefault="004D6AFE" w:rsidP="004D6AFE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10C7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Сведения об исполнении текстовых статей решения о бюджете от 29.11.2013 года № 184 «Об утверждении бюджета Дальнегорского городского округа на 2014 год и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плановый период 2015 и 2016 годов», представлены в Таблице 3 Приложения к Пояснительной записке (утвержденной Инструкцией 191н к пояснительной записке). </w:t>
      </w:r>
    </w:p>
    <w:p w:rsidR="004D6AFE" w:rsidRPr="004D6AFE" w:rsidRDefault="004D6AFE" w:rsidP="004D6AF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D6AFE" w:rsidRPr="00110C74" w:rsidRDefault="004D6AFE" w:rsidP="004D6AF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3.1 Анализ исполнения бюджета Дальнегорского городского округа по доходам</w:t>
      </w:r>
    </w:p>
    <w:p w:rsidR="004D6AFE" w:rsidRPr="00110C74" w:rsidRDefault="004D6AFE" w:rsidP="004D6AFE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Исполнение плана по доходам на 01.01.2015 г. составило 936 836,02 тыс. руб. (от утвержденного 956 279,04 тыс. руб.). План по собственным доходам утвержден в сумме 464 323,00 тыс. руб., исполнен в размере 466 454,67 тыс. руб. (100,46 %). План по безвозмездным поступлениям </w:t>
      </w:r>
      <w:r w:rsidRPr="00110C7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составил 491 956,04 тыс. руб., исполнен – 470 381,35 тыс. руб. (95,61 %). Исполнение бюджета в разрезе видов доходов представлено в Таблице 3.3.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</w:pP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iCs/>
          <w:sz w:val="26"/>
          <w:szCs w:val="26"/>
          <w:lang w:eastAsia="ru-RU"/>
        </w:rPr>
        <w:t>Таблица 3.3.</w:t>
      </w:r>
    </w:p>
    <w:p w:rsidR="004D6AFE" w:rsidRPr="00110C74" w:rsidRDefault="004D6AFE" w:rsidP="004D6A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iCs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iCs/>
          <w:sz w:val="26"/>
          <w:szCs w:val="26"/>
          <w:lang w:eastAsia="ru-RU"/>
        </w:rPr>
        <w:t>Анализ исполнения доходов бюджета Дальнегорского городского округа по состоянию на 01.01.2015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в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10080" w:type="dxa"/>
        <w:tblInd w:w="-34" w:type="dxa"/>
        <w:tblLayout w:type="fixed"/>
        <w:tblLook w:val="04A0"/>
      </w:tblPr>
      <w:tblGrid>
        <w:gridCol w:w="3984"/>
        <w:gridCol w:w="1418"/>
        <w:gridCol w:w="1560"/>
        <w:gridCol w:w="992"/>
        <w:gridCol w:w="984"/>
        <w:gridCol w:w="1142"/>
      </w:tblGrid>
      <w:tr w:rsidR="004D6AFE" w:rsidRPr="004D6AFE" w:rsidTr="004D6AFE">
        <w:trPr>
          <w:trHeight w:val="103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Годовой план по состоянию на 01.01.2015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Исполнение по состоянию на 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%% исполнения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 общих доходах, %%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 собственных доходах, %%</w:t>
            </w:r>
          </w:p>
        </w:tc>
      </w:tr>
      <w:tr w:rsidR="004D6AFE" w:rsidRPr="004D6AFE" w:rsidTr="004D6AFE">
        <w:trPr>
          <w:trHeight w:val="255"/>
          <w:tblHeader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464 323,00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466 454,67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100,46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49,79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338 655,00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339 525,82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100,26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72,79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 на товары (работы, услуги), реализуемые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6 628,68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83,91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Налоги на совокупный доход (ЕНВД, ЕСХН, патент)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33 750,00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34 250,17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101,48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7,34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16 844,89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100,87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3,61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5 216,14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121,31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Отменённые налоги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27 119,00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27 218,05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100,37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5,84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негативное воздействие на 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2 552,13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72,92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1 723,17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505,33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Приватизация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26 958,00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27 044,60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100,32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5,80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5 335,85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104,62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491 956,04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470 381,35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95,61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491 956,04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481 040,63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97,78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3 219,00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3 219,00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143 262,33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114 299,87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79,78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339 598,47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356 964,27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105,11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38,10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7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70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5 876,24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70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6 557,49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70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111,59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70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Возврат остатков целевых сре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-10 659,28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-1,14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956 279,04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936 836,02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97,97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ab/>
        <w:t>Анализом исполнения доходов бюджета Дальнегорского ГО установлено следующее: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1.План по сбору налоговых и неналоговых доходов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исполнен в полном объеме: исполнение составило 100,46% (за 2013 год – 101,00%). Анализ структуры доходов показал, что основным источником формирования доходов бюджета, по-прежнему, остаётся НДФЛ. Его доля в объеме собственных (налоговых и неналоговых) доходов составила 72,79%, в общих доходах – 36,24%. В 2013 году доля НДФЛ составила 76,97% и 37,45% соответственно. Снижение доли НДФЛ в объеме собственных доходов объясняется снижением размера отчислений НДФЛ с 84,822% в 2013 году до 73,322% в 2014 году.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1.1. Налоговые доходы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 отдельным видам налогов, исполнение составило выше нормативного (более 98%): по НДФЛ -100,26%, по налогам на совокупный доход – 101,48%, по налогам на имущество – 100,87%, по государственной пошлине -121,31%. Значительное превышение доходов от государственной пошлины (на 23,31%) объясняется невозможностью точного прогнозирования поступлений от данного вида доходов. Так, в декабре 2014 года в бюджет муниципального образования поступило доходов от государственной пошлины в 3 раза больше, чем в среднем за январь – ноябрь 2014 года. Ниже нормативного (менее 98%) исполнение плана по налогам на товары (на 14,09%). Причина отклонения – недоимка по оплате акцизов.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1.2. Неналоговые доходы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 следующим видам неналоговых доходов наблюдается превышение нормативных показателей: по доходам от аренды муниципального имущества – 100,37%, по доходам от приватизации – 100,32%, штрафам – 104,62%. Значительно превышает установленный норматив поступление доходов от оказания платных услуг (на 407,33%).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Это объясняется тем, что в бюджет муниципального образования в январе – марте 2014 года поступили средства в сумме 1 392,87 тыс. руб. по КБК 00011302994040000130 «Прочие доходы от компенсации затрат бюджетов городских округов» (так как эти средства имели целевое назначение и в бюджет 2013 года поступили из краевого бюджета, они были перечислены в Департамент </w:t>
      </w:r>
      <w:r w:rsidR="00776D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гражданской защиты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Приморского</w:t>
      </w:r>
      <w:r w:rsidR="00776D1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края по заявкам на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возврат от 15.01.2014 года на сумму 1 238,27 тыс. руб. и от 10.04.2014 года на сумму 154,60 тыс. руб. по КБК 00021904000040000151). В связи с этим, план по подгруппе бюджетной классификации 113 «Доходы от оказания платных услуг (работ) и компенсации затрат государства» не увеличился. Таким образом, фактическое отклонение по поступлениям доходов от оказания платных услуг от нормативных значений оказалось ниже нормативных значений на 1,14%. Ниже нормативных значений поступление платы за негативное воздействие на окружающую среду (на 26,08%) ввиду неплатежей ЗАО ГХК «БОР».</w:t>
      </w:r>
    </w:p>
    <w:p w:rsidR="004D6AFE" w:rsidRPr="00110C74" w:rsidRDefault="004D6AFE" w:rsidP="008E388A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2. План по безвозмездным поступлениям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исполнен на 95,61%. В бюджете муниципального образования предусмотрено поступление субсидий, субвенций и иных межбюджетных трансфертов в размере 491 956 036,59 руб., поступило 470 381 352,09 руб.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Сравнительный анализ исполнения бюджета Дальнегорского городского округа за 2013 и 2014 годы представлен в таблице 3.4.</w:t>
      </w:r>
    </w:p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>Таблица 3.4.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Сравнительный анализ исполнения бюджета Дальнегорского городского округа по доходам по состоянию на 01.01.2014 и 01.01.2015</w:t>
      </w:r>
    </w:p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lastRenderedPageBreak/>
        <w:t>в</w:t>
      </w:r>
      <w:proofErr w:type="gramEnd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 xml:space="preserve"> </w:t>
      </w:r>
      <w:proofErr w:type="spellStart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тыс</w:t>
      </w:r>
      <w:proofErr w:type="spellEnd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 xml:space="preserve">. </w:t>
      </w:r>
      <w:proofErr w:type="spellStart"/>
      <w:proofErr w:type="gramStart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руб</w:t>
      </w:r>
      <w:proofErr w:type="spellEnd"/>
      <w:proofErr w:type="gramEnd"/>
      <w:r w:rsidRPr="004D6AFE">
        <w:rPr>
          <w:rFonts w:ascii="Times New Roman" w:eastAsiaTheme="minorEastAsia" w:hAnsi="Times New Roman" w:cs="Times New Roman"/>
          <w:sz w:val="27"/>
          <w:szCs w:val="27"/>
          <w:lang w:val="en-US" w:eastAsia="ru-RU"/>
        </w:rPr>
        <w:t>.</w:t>
      </w:r>
    </w:p>
    <w:tbl>
      <w:tblPr>
        <w:tblW w:w="9855" w:type="dxa"/>
        <w:tblInd w:w="93" w:type="dxa"/>
        <w:tblLayout w:type="fixed"/>
        <w:tblLook w:val="04A0"/>
      </w:tblPr>
      <w:tblGrid>
        <w:gridCol w:w="4410"/>
        <w:gridCol w:w="1396"/>
        <w:gridCol w:w="1297"/>
        <w:gridCol w:w="1539"/>
        <w:gridCol w:w="1213"/>
      </w:tblGrid>
      <w:tr w:rsidR="004D6AFE" w:rsidRPr="004D6AFE" w:rsidTr="004D6AFE">
        <w:trPr>
          <w:trHeight w:val="285"/>
          <w:tblHeader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 по состоянию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Абсолютные отклонения 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Относительные отклонения, %%</w:t>
            </w:r>
          </w:p>
        </w:tc>
      </w:tr>
      <w:tr w:rsidR="004D6AFE" w:rsidRPr="004D6AFE" w:rsidTr="004D6AFE">
        <w:trPr>
          <w:trHeight w:val="452"/>
          <w:tblHeader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01.01.2014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01.01.2015</w:t>
            </w:r>
          </w:p>
        </w:tc>
        <w:tc>
          <w:tcPr>
            <w:tcW w:w="15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FE" w:rsidRPr="004D6AFE" w:rsidTr="004D6AFE">
        <w:trPr>
          <w:trHeight w:val="57"/>
          <w:tblHeader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4=</w:t>
            </w:r>
            <w:r w:rsidRPr="004D6AFE">
              <w:rPr>
                <w:rFonts w:ascii="Times New Roman" w:eastAsiaTheme="minorEastAsia" w:hAnsi="Times New Roman" w:cs="Times New Roman"/>
                <w:bCs/>
                <w:lang w:eastAsia="ru-RU"/>
              </w:rPr>
              <w:t>3-2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5=</w:t>
            </w:r>
            <w:r w:rsidRPr="004D6AFE">
              <w:rPr>
                <w:rFonts w:ascii="Times New Roman" w:eastAsiaTheme="minorEastAsia" w:hAnsi="Times New Roman" w:cs="Times New Roman"/>
                <w:bCs/>
                <w:lang w:eastAsia="ru-RU"/>
              </w:rPr>
              <w:t>3/2*100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480 220,63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466 454,67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-13 765,96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97,13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369 641,93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339 525,82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-30 116,11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91,85</w:t>
            </w:r>
          </w:p>
        </w:tc>
      </w:tr>
      <w:tr w:rsidR="004D6AFE" w:rsidRPr="004D6AFE" w:rsidTr="004D6AFE">
        <w:trPr>
          <w:trHeight w:val="29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Налог на товары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6 628,68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6 628,68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30 622,61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34 250,17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3 627,56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111,85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22 101,73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16 844,89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-5 256,84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spacing w:before="100" w:beforeAutospacing="1" w:after="100" w:afterAutospacing="1" w:line="57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76,22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3 827,62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5 216,14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1 388,52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136,28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Отменённые налоги и сборы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-23,68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20 440,46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27218,05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6 777,59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133,16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Плата за негативное воздействие на ОС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1 946,54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2 552,13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605,59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131,11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370,88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1 723,17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1 352,29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464,62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Приватизация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27 394,50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27 044,60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-349,90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98,72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3 750,50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5 335,85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1 585,35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142,27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100,18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115,17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114,96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506 735,19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470 381,35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-36 353,84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92,83</w:t>
            </w:r>
          </w:p>
        </w:tc>
      </w:tr>
      <w:tr w:rsidR="004D6AFE" w:rsidRPr="004D6AFE" w:rsidTr="004D6AFE">
        <w:trPr>
          <w:trHeight w:val="19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192" w:lineRule="atLeas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192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506 753,43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192" w:lineRule="atLeas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481 040,63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192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-25 712,80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192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94,93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1 601,00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3 219,00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1 618,00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201,06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Субсидия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269 993,54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114 299,87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-155 693,67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42,33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Субвенция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212 895,79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356 964,27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144 068,48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167,67</w:t>
            </w:r>
          </w:p>
        </w:tc>
      </w:tr>
      <w:tr w:rsidR="004D6AFE" w:rsidRPr="004D6AFE" w:rsidTr="004D6AFE">
        <w:trPr>
          <w:trHeight w:val="22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29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29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22 263,10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29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6 557,49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29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-15 705,61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229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29,45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Возврат остатков целевых сре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ошлых лет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-18,24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-10 659,28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-10 641,04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58 439,04</w:t>
            </w:r>
          </w:p>
        </w:tc>
      </w:tr>
      <w:tr w:rsidR="004D6AFE" w:rsidRPr="004D6AFE" w:rsidTr="004D6AFE">
        <w:trPr>
          <w:trHeight w:val="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986 955,82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936 836,02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-50 119,80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94,92</w:t>
            </w:r>
          </w:p>
        </w:tc>
      </w:tr>
    </w:tbl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Из таблицы 3.4. видна отрицательная динамика поступлений НДФЛ по сравнению с 2013 годом - на 8,15%. Основной причиной сокращения поступлений НДФЛ является снижение размера отчислений НДФЛ с 84,822% в 2013 году до 73,322% в 2014 году.</w:t>
      </w:r>
    </w:p>
    <w:p w:rsidR="004D6AFE" w:rsidRPr="00110C74" w:rsidRDefault="004D6AFE" w:rsidP="00110C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налогам на товары отчисления в местный бюджет в 2013 году не производились, так как нормативы отчислений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инжекторных</w:t>
      </w:r>
      <w:proofErr w:type="spellEnd"/>
      <w:r w:rsidRPr="00110C74">
        <w:rPr>
          <w:rFonts w:ascii="Times New Roman" w:eastAsia="Times New Roman" w:hAnsi="Times New Roman" w:cs="Times New Roman"/>
          <w:sz w:val="26"/>
          <w:szCs w:val="26"/>
          <w:lang w:eastAsia="ru-RU"/>
        </w:rPr>
        <w:t>) двигателей в местный бюджет установлены с 01.01.2014 года.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Увеличение поступлений наблюдается по Единому налогу на вмененный доход – отклонение составило 3 627,56 тыс. руб. (111,85%).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В таблице отражена отрицательная динамика поступления «налогов на имущество» </w:t>
      </w:r>
      <w:r w:rsidRPr="00110C74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- 5 256,84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тыс. руб. или 76,22%. Данная группа налогов представлена в местном бюджете земельным налогом и налогом на имущество физических лиц.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Снижение поступлений по «налогам на имущество» связано с изменением (в сторону уменьшения) начисления и пересчёта суммы земельного налога ЗАО «ГХК Бор», вызванное изменением кадастровой стоимости земельного участка за 2011 и 2012 годы. По данным отчёта МИФНС России № 6 по ПК, сформированного с учетом приказа Министерства финансов РФ и Федеральной налоговой службы от 30.06.2008 № 65н, сумма начисленного земельного налога за 2012 год меньше на 6085,99466 тыс. рублей в сравнении с суммой за 2011 год. В связи с чем, в 1 квартале 2014 года был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оформлен возврат денежных средств из бюджета ДГО на сумму 4 128,424 тыс. рублей и произведен зачет исчисленного налога за 2013 год в размере 2 145,506 тыс. руб.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Значительное увеличение поступлений по сравнению с 2013 годом наблюдалось по доходам от сдачи в аренду муниципального имущества – на 6 777,59 тыс. руб. (133,16%). В 2014 году активно велась работа по взысканию просроченной задолженности по аренде муниципального имущества.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Наблюдалось увеличение поступлений от штрафов (на 42,27%) и государственной пошлины (на 36,28%) в бюджет муниципального образования.</w:t>
      </w:r>
    </w:p>
    <w:p w:rsidR="004D6AFE" w:rsidRPr="00110C74" w:rsidRDefault="004D6AFE" w:rsidP="00110C74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D6AFE" w:rsidRPr="00110C74" w:rsidRDefault="004D6AFE" w:rsidP="004D6A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3.2. Анализ исполнения бюджета Дальнегорского городского округа по расходам</w:t>
      </w:r>
    </w:p>
    <w:p w:rsidR="004D6AFE" w:rsidRPr="004D6AFE" w:rsidRDefault="004D6AFE" w:rsidP="004D6AF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Исполнение плана по расходам на 01.01.2015 составило 930 839 569,28 руб. (89,60%) при плане 1 038 895 614,66 руб. Минимальное нормативное значение - 98%. Отклонение от нормы составило 8,40%. </w:t>
      </w:r>
    </w:p>
    <w:p w:rsidR="004D6AFE" w:rsidRPr="00110C74" w:rsidRDefault="004D6AFE" w:rsidP="00110C74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Отклонение от норматива связано со следующими причинами:</w:t>
      </w:r>
    </w:p>
    <w:p w:rsidR="004D6AFE" w:rsidRPr="00110C74" w:rsidRDefault="004D6AFE" w:rsidP="00110C74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highlight w:val="red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Наличие остатков целевых денежных средств (субсидий федерального и краевого бюджетов) на едином счете бюджета по состоянию на 01.01.2015г. в размере 58 287 646,39 руб., в том числе по следующим видам трансфертов: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1.1. Остаток средств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корпорации – Фонда содействию реформированию жилищно-коммунального хозяйства в размере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30 293 916,83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 (Перечисление средств осуществлялось в рамках условий муниципальных контрактов).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1.2. Остаток средств субсидии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Приморского края в размере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26 298 248,45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 (Перечисление средств осуществлялось в рамках условий муниципальных контрактов).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1.3. Остаток средств резервного фонда Администрации Приморского края на финансирование мероприятий по временному социально-бытовому обустройству лиц, вынужденно покинувших территорию Украины в размере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895 450,00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 (в связи с поздним доведением ассигнований из краевого бюджета).</w:t>
      </w:r>
    </w:p>
    <w:p w:rsidR="00471293" w:rsidRPr="00110C74" w:rsidRDefault="00471293" w:rsidP="00110C74">
      <w:pPr>
        <w:pStyle w:val="a6"/>
        <w:ind w:left="0"/>
        <w:jc w:val="both"/>
        <w:rPr>
          <w:color w:val="000000"/>
          <w:sz w:val="26"/>
          <w:szCs w:val="26"/>
        </w:rPr>
      </w:pPr>
      <w:r w:rsidRPr="00110C74">
        <w:rPr>
          <w:color w:val="000000"/>
          <w:sz w:val="26"/>
          <w:szCs w:val="26"/>
        </w:rPr>
        <w:t xml:space="preserve">1.4. Остаток средств субвенции на организацию и обеспечение оздоровления и отдыха детей Приморского края (за исключением  организации отдыха детей в каникулярное время) в размере </w:t>
      </w:r>
      <w:r w:rsidRPr="00110C74">
        <w:rPr>
          <w:i/>
          <w:color w:val="000000"/>
          <w:sz w:val="26"/>
          <w:szCs w:val="26"/>
        </w:rPr>
        <w:t xml:space="preserve">632088,4 </w:t>
      </w:r>
      <w:r w:rsidRPr="00110C74">
        <w:rPr>
          <w:color w:val="000000"/>
          <w:sz w:val="26"/>
          <w:szCs w:val="26"/>
        </w:rPr>
        <w:t>руб. (перечисление средств осуществлялось по количеству заявителей (по фактической потребности)).</w:t>
      </w:r>
    </w:p>
    <w:p w:rsidR="00471293" w:rsidRPr="00110C74" w:rsidRDefault="00471293" w:rsidP="00110C74">
      <w:pPr>
        <w:pStyle w:val="a6"/>
        <w:ind w:left="0"/>
        <w:jc w:val="both"/>
        <w:rPr>
          <w:color w:val="000000"/>
          <w:sz w:val="26"/>
          <w:szCs w:val="26"/>
        </w:rPr>
      </w:pPr>
      <w:r w:rsidRPr="00110C74">
        <w:rPr>
          <w:color w:val="000000"/>
          <w:sz w:val="26"/>
          <w:szCs w:val="26"/>
        </w:rPr>
        <w:t xml:space="preserve">1.5. Остаток средств субсидии на государственную поддержку малого и среднего предпринимательства, включая крестьянские (фермерские) хозяйства в размере </w:t>
      </w:r>
      <w:r w:rsidRPr="00110C74">
        <w:rPr>
          <w:i/>
          <w:color w:val="000000"/>
          <w:sz w:val="26"/>
          <w:szCs w:val="26"/>
        </w:rPr>
        <w:t xml:space="preserve"> 108 931.71 </w:t>
      </w:r>
      <w:r w:rsidRPr="00110C74">
        <w:rPr>
          <w:color w:val="000000"/>
          <w:sz w:val="26"/>
          <w:szCs w:val="26"/>
        </w:rPr>
        <w:t>руб. (неполное освоение средств в связи с отсутствием заявок от субъектов малого и среднего предпринимательства).</w:t>
      </w:r>
    </w:p>
    <w:p w:rsidR="00471293" w:rsidRPr="00110C74" w:rsidRDefault="00471293" w:rsidP="00110C74">
      <w:pPr>
        <w:pStyle w:val="a6"/>
        <w:ind w:left="0"/>
        <w:jc w:val="both"/>
        <w:rPr>
          <w:i/>
          <w:color w:val="000000"/>
          <w:sz w:val="26"/>
          <w:szCs w:val="26"/>
        </w:rPr>
      </w:pPr>
      <w:r w:rsidRPr="00110C74">
        <w:rPr>
          <w:color w:val="000000"/>
          <w:sz w:val="26"/>
          <w:szCs w:val="26"/>
        </w:rPr>
        <w:t xml:space="preserve">1.6. Остаток средств субвенции на компенсацию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в размере </w:t>
      </w:r>
      <w:r w:rsidRPr="00110C74">
        <w:rPr>
          <w:i/>
          <w:color w:val="000000"/>
          <w:sz w:val="26"/>
          <w:szCs w:val="26"/>
        </w:rPr>
        <w:t>59 011,00</w:t>
      </w:r>
      <w:r w:rsidRPr="00110C74">
        <w:rPr>
          <w:color w:val="000000"/>
          <w:sz w:val="26"/>
          <w:szCs w:val="26"/>
        </w:rPr>
        <w:t xml:space="preserve"> руб. (расходы произведены по фактической потребности).</w:t>
      </w:r>
    </w:p>
    <w:p w:rsidR="00471293" w:rsidRPr="00110C74" w:rsidRDefault="00471293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2. Поступление в бюджет муниципального образования субсидий и субвенций из краевого бюджета не в полном объеме, в том числе по следующим видам межбюджетных трансфертов: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2.1. Субсидий из краевого бюджета на ремонт дорог и придомовых территорий (отклонение фактических поступлений от плановых значений составило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4 466 997,50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руб.).</w:t>
      </w:r>
      <w:r w:rsidR="004B1B55" w:rsidRPr="00110C74">
        <w:rPr>
          <w:sz w:val="26"/>
          <w:szCs w:val="26"/>
        </w:rPr>
        <w:t xml:space="preserve">  </w:t>
      </w:r>
      <w:r w:rsidR="004B1B55"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Департаментом дорожного хозяйства Приморского края не признаны законными </w:t>
      </w:r>
      <w:proofErr w:type="gramStart"/>
      <w:r w:rsidR="004B1B55"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изменения</w:t>
      </w:r>
      <w:proofErr w:type="gramEnd"/>
      <w:r w:rsidR="004B1B55"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внесенные в муниципальный контракт по ремонту дорог и дворовых территорий (по 44-ФЗ).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2.2. Субсидий из краевого бюджета на реконструкцию МОБУ ДОД «Вертикаль» (отклонение фактических поступлений от плановых значений составило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14 500 000,00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руб.).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2.3. Субсидий из краевого бюджета на реконструкцию МОБУ ДОД ДЮСШ «Гранит» (отклонение фактических поступлений от плановых значений составило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4 146 610,00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руб.).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3. Ввиду позднего доведения ассигнований из краевого бюджета на обеспечение земельных участков, предоставленных на бесплатной основе гражданам, имеющим трех и более детей, инженерной инфраструктурой в размере </w:t>
      </w:r>
      <w:r w:rsidRPr="00110C74"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  <w:t>5 700 000,00</w:t>
      </w: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руб., в </w:t>
      </w:r>
      <w:proofErr w:type="gramStart"/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связи</w:t>
      </w:r>
      <w:proofErr w:type="gramEnd"/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с чем заключение муниципального контракта в 2014 году не представлялось возможным.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4. Осуществление расходования средств местного бюджета по фактическим затратам.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отчёте об исполнении бюджета Дальнегорского городского округа, в соответствии с п.134 Инструкции 191н, плановые показатели по расходам и источникам финансирования дефицита бюджета отражаются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Таким образом, плановые показатели по расходам, отражённые в отчёте об исполнении бюджета Дальнегорского городского округа по состоянию на 01.01.2015 года, соответствуют сводной бюджетной росписи на 01.01.2015 года и составляют 1 038 895 614,66 руб.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Анализ исполнения расходов на содержание органов местного самоуправления</w:t>
      </w:r>
      <w:r w:rsidR="00110C74"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органам местного самоуправления (далее по тексту – ОМСУ) </w:t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Дальнегорском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городском округе относятся 7 учреждений: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Дума Дальнегорского городского округа – представительный орган;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Администрация Дальнегорского городского округа – исполнительно-распорядительный орган и четыре её структурных подразделения с правом юридического лица: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Финансовое управление администрации Дальнегорского городского округа;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Управление муниципального имущества администрации Дальнегорского городского округа;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Управление образования администрации Дальнегорского городского округа;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4) Управление культуры, спорта и молодежной политики администрации Дальнегорского городского округа;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Контрольно-счётная палата Дальнегорского городского округа – контрольный орган.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2014 году Постановлением администрации Приморского края 05 ноября 2013 года № 393-па установлен предельный норматив расходов на содержание органов местного самоуправления для Дальнегорского городского округа в размере 16,62% от поступлений налоговых, неналоговых доходов и дотаций на выравнивание бюджетной обеспеченности. Фактический объём данных доходов за 2014 год составил 468 031,67 тыс. руб., следовательно, предельный объём средств, возможных к направлению на содержание ОМСУ, не должен превышать 77 786,86 тыс. рублей. Кассовые расходы за 2014 год составили 65 618,31 тыс. рублей (включая расходы по содержанию органов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местного самоуправления, направленные на выполнение полномочий Российской Федерации и субъектов Российской Федерации), что не превышает предельно допустимый норматив. Подробный анализ расходов на ОМСУ и причины отклонений приведены в таблице 3.5.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Анализ расходов на органы местного самоуправления за 2014 год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Таблица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3.5.</w:t>
      </w:r>
      <w:proofErr w:type="gramEnd"/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В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9938" w:type="dxa"/>
        <w:tblInd w:w="93" w:type="dxa"/>
        <w:tblLook w:val="04A0"/>
      </w:tblPr>
      <w:tblGrid>
        <w:gridCol w:w="2142"/>
        <w:gridCol w:w="1275"/>
        <w:gridCol w:w="1348"/>
        <w:gridCol w:w="1422"/>
        <w:gridCol w:w="3751"/>
      </w:tblGrid>
      <w:tr w:rsidR="004D6AFE" w:rsidRPr="004D6AFE" w:rsidTr="004D6AFE">
        <w:trPr>
          <w:trHeight w:val="25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органа МСУ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на 2014 год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01.01.2015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%%</w:t>
            </w:r>
          </w:p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отклонений от среднего показателя</w:t>
            </w:r>
          </w:p>
        </w:tc>
      </w:tr>
      <w:tr w:rsidR="004D6AFE" w:rsidRPr="004D6AFE" w:rsidTr="004D6A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Дума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4 891,50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4 697,28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96,03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39 581,00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37 209,01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94,01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9 104,68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8 958,69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муниципального имущества администрации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7 812,20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7 345,24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94,02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2 609,40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2 511,50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96,25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5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2 800,90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2 621,68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93,60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Контрольно-счётная палата ДГО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2 413,93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2 274,91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94,24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фактическим затратам</w:t>
            </w:r>
          </w:p>
        </w:tc>
      </w:tr>
      <w:tr w:rsidR="004D6AFE" w:rsidRPr="004D6AFE" w:rsidTr="004D6AFE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69 213,61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65 618,31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:rsidR="004D6AFE" w:rsidRPr="004D6AFE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Анализ исполнения расходов по ГРБС приведён в Таблице 3.6.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Анализ исполнения расходов по главным распорядителям бюджетных средств (ГРБС)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Таблица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3.6.</w:t>
      </w:r>
      <w:proofErr w:type="gramEnd"/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в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.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9989" w:type="dxa"/>
        <w:jc w:val="center"/>
        <w:tblInd w:w="-546" w:type="dxa"/>
        <w:tblLook w:val="04A0"/>
      </w:tblPr>
      <w:tblGrid>
        <w:gridCol w:w="3578"/>
        <w:gridCol w:w="1598"/>
        <w:gridCol w:w="1690"/>
        <w:gridCol w:w="1422"/>
        <w:gridCol w:w="1701"/>
      </w:tblGrid>
      <w:tr w:rsidR="004D6AFE" w:rsidRPr="004D6AFE" w:rsidTr="004D6AFE">
        <w:trPr>
          <w:trHeight w:val="703"/>
          <w:jc w:val="center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на 2014 год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01.01.2015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%%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в общих расходах, %%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Дума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4 891,50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4 697,28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236 233,61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155 171,58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9 126,18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8 980,17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Управление муниципального имущества администрации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12 675,20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9 750,77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635 212,48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616 655,52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66,25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138 342,71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133 309,34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14,32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Контрольно-счётная палата ДГО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2 413,93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2 274,91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4D6AFE" w:rsidRPr="004D6AFE" w:rsidTr="004D6AFE">
        <w:trPr>
          <w:trHeight w:val="255"/>
          <w:jc w:val="center"/>
        </w:trPr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1 038 895,61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930 839,57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4D6AFE" w:rsidRPr="00110C74" w:rsidRDefault="004D6AFE" w:rsidP="00776D14">
      <w:pPr>
        <w:tabs>
          <w:tab w:val="left" w:pos="0"/>
        </w:tabs>
        <w:spacing w:after="0" w:line="240" w:lineRule="auto"/>
        <w:ind w:right="-1"/>
        <w:rPr>
          <w:rFonts w:ascii="Times New Roman" w:eastAsiaTheme="minorEastAsia" w:hAnsi="Times New Roman" w:cs="Times New Roman"/>
          <w:sz w:val="26"/>
          <w:szCs w:val="26"/>
          <w:highlight w:val="yellow"/>
          <w:u w:val="single"/>
          <w:lang w:val="en-US" w:eastAsia="ru-RU"/>
        </w:rPr>
      </w:pPr>
      <w:r w:rsidRPr="004D6AF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ab/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val="en-US" w:eastAsia="ru-RU"/>
        </w:rPr>
        <w:t>По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val="en-US" w:eastAsia="ru-RU"/>
        </w:rPr>
        <w:t xml:space="preserve"> ГРБС -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val="en-US" w:eastAsia="ru-RU"/>
        </w:rPr>
        <w:t>Администрация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val="en-US" w:eastAsia="ru-RU"/>
        </w:rPr>
        <w:t xml:space="preserve"> ДГО</w:t>
      </w:r>
    </w:p>
    <w:p w:rsidR="004D6AFE" w:rsidRPr="00110C74" w:rsidRDefault="004D6AFE" w:rsidP="00110C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Как видно из Таблицы 3.6., доля расходов ГРБС - Администрация ДГО составила 16,67%. Данный показатель значительно ниже, чем в 2013 году. </w:t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2013 году доля расходов ГРБС – Администрация ДГО составляла 97,19%. Это является следствием того, что решением Думы ДГО от 29.11.2013 № 184 «О бюджете Дальнегорского городского округа на 2014 год и плановый период 2015 и 2016 годов» (Приложение 8) утверждено 7 (семь) главных распорядителей средств бюджета: из ГРБС – Администрация ДГО выделены как самостоятельные ГРБС Управление образования администрации ДГО и Управление культуры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спорта и молодежной политики администрации ДГО. Таким образом, с 1 января 2014 года администрация ДГО не осуществляет полномочия представителя учредителя для 31 (тридцати одного) бюджетного учреждения, подведомственного Управлению образования, и 9 (девяти) бюджетных учреждений, подведомственных Управлению культуры, спорта и молодежной политики.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Исполнение по расходам составило 65,69%, что на 32,31% ниже нормативных значений. Основные причины низкого исполнения плана по расходам следующие: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1.Бюджетные ассигнования по программе переселения граждан из аварийного жилищного фонда предусмотрены на 2 этапа выполнения работ – на 2014 и 2015 годы. Финансирование мероприятий второго этапа в рамках муниципального контракта будет произведено в 2015 году после предоставления застройщиком документов по выполненным работам первого этапа муниципального контракта (отклонение от плана составило 58 327,09 тыс. руб.).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2.Невозможность заключения муниципального контракта на мероприятия по обеспечению земельных участков, предоставленных многодетным семьям, инженерной инфраструктурой ввиду позднего доведения ассигнований (отклонение от плана составило 11 400,00 тыс. руб.).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3.Поступление субсидий на ремонт дорог и придомовых территорий из краевого бюджета не в полном объеме </w:t>
      </w:r>
      <w:r w:rsidR="00776D1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причине признания Департаментом дорожного хозяйства незаконными действия Администрации Дальнегорского городского округа по внесению изменений в муниципальный контракт по ремонту дорог (в рамках 44-ФЗ)</w:t>
      </w:r>
      <w:proofErr w:type="gramStart"/>
      <w:r w:rsidR="00776D14">
        <w:rPr>
          <w:rFonts w:ascii="Times New Roman" w:eastAsiaTheme="minorEastAsia" w:hAnsi="Times New Roman" w:cs="Times New Roman"/>
          <w:sz w:val="26"/>
          <w:szCs w:val="26"/>
          <w:lang w:eastAsia="ru-RU"/>
        </w:rPr>
        <w:t>,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(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отклонение от плана составило 4 467,00 тыс. руб.).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– Управление образования администрации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Доля расходов ГРБС – Управление образования администрации ДГО составила 66,25%. Это связано с тем, что Управление образования администрации ДГО осуществляет полномочия учредителя для 31 бюджетного учреждения и предоставляет им финансовое обеспечение на выполнение муниципальных заданий (согласно ФЗ-83). Кроме того, значительную часть расходов составляют расходы на выплату заработной платы работникам бюджетной сферы. Расходование денежных средств осуществляется в пределах установленного норматива.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– Управление культуры, спорта и молодежной политики администрации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Доля расходов ГРБС - Управление культуры, спорта и молодежной политики администрации ДГО составила 14,32%. Управление культуры, спорта и молодежной политики администрации ДГО осуществляет полномочия учредителя для 9 бюджетных учреждений и предоставляет им финансовое обеспечение на выполнение муниципальных заданий. Расходование денежных средств осуществляется в пределах установленного норматива.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- УМИ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Исполнение по расходам составило 76,93%. В смете расходов данного ГРБС, помимо расходов на содержание муниципальных служащих, предусмотрены расходы на исполнение полномочий муниципального образования по содержанию муниципального имущества, его подготовку для сдачи в аренду и приватизацию (оценка имущества, формирование земельных участков и т.д.). Низкое исполнение плана по расходам связано с тем, что оплата за выполнение кадастровых работ по землеустройству и землепользованию произведена по фактическим затратам.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– Финансовое управление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Исполнение по расходам составило 98,40%. В смете расходов ГРБС - ФУ администрации ДГО на 2014 год, помимо расходов на содержание муниципальных служащих, были предусмотрены расходы на обслуживание государственного и муниципального долга. В связи с тем, что по состоянию на 1 декабря 2014 года долговых обязательств перед кредиторами </w:t>
      </w: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нет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расходование средств на данные цели не производилось, решением Думы ДГО от 19.12.2014 № 316 «О внесении изменений в решение Думы Дальнегорского городского округа от 29.11.2013 № 184 «Об утверждении бюджета Дальнегорского городского округа на 2014 год и плановый период 2015 и 2016 годов» ассигнования на погашение муниципального долга в размере 1 000 000,00 руб. были сняты.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– Дума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Исполнение расходов по ГРБС Дума ДГО осуществляется в пределах установленного норматива.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110C74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По ГРБС – КСП ДГО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Исполнение расходов по ГРБС Дума ДГО осуществляется в пределах установленного норматива.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Анализ исполнения расходов бюджета ДГО в разрезе отраслей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Расходы бюджета Дальнегорского городского округа в течение ряда последних лет осуществляются в разрезе 9 отраслей (разделов). Анализ расходов бюджета ДГО в разрезе отраслей представлен в Таблице 3.7.</w:t>
      </w:r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Таблица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3.7.</w:t>
      </w:r>
      <w:proofErr w:type="gramEnd"/>
    </w:p>
    <w:p w:rsidR="004D6AFE" w:rsidRPr="00110C74" w:rsidRDefault="004D6AFE" w:rsidP="004D6AFE">
      <w:pPr>
        <w:tabs>
          <w:tab w:val="left" w:pos="0"/>
        </w:tabs>
        <w:spacing w:after="0" w:line="240" w:lineRule="auto"/>
        <w:ind w:right="-1"/>
        <w:jc w:val="right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В </w:t>
      </w:r>
      <w:proofErr w:type="spell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тыс</w:t>
      </w:r>
      <w:proofErr w:type="spell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руб</w:t>
      </w:r>
      <w:proofErr w:type="spellEnd"/>
      <w:proofErr w:type="gramEnd"/>
      <w:r w:rsidRPr="00110C74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.</w:t>
      </w:r>
    </w:p>
    <w:tbl>
      <w:tblPr>
        <w:tblW w:w="10060" w:type="dxa"/>
        <w:tblInd w:w="-34" w:type="dxa"/>
        <w:tblLook w:val="04A0"/>
      </w:tblPr>
      <w:tblGrid>
        <w:gridCol w:w="3403"/>
        <w:gridCol w:w="1656"/>
        <w:gridCol w:w="1107"/>
        <w:gridCol w:w="1497"/>
        <w:gridCol w:w="975"/>
        <w:gridCol w:w="1422"/>
      </w:tblGrid>
      <w:tr w:rsidR="004D6AFE" w:rsidRPr="004D6AFE" w:rsidTr="004D6AF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 на 2014 год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 по плану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01.01.2015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 по факту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%% исполнения</w:t>
            </w:r>
          </w:p>
        </w:tc>
      </w:tr>
      <w:tr w:rsidR="004D6AFE" w:rsidRPr="004D6AFE" w:rsidTr="004D6AFE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90 756,07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84 534,90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93,15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</w:t>
            </w: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5 657,93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4 217,36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74,80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32 942,92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26 731,24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81,14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135 294,70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64 848,95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47,93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646 289,08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62,21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627 781,13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97,14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95 488,09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9,19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94 760,03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99,24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5 491,80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5 286,25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96,26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26 975,02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22 679,71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84,08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AFE" w:rsidRPr="004D6AFE" w:rsidTr="004D6AFE">
        <w:trPr>
          <w:trHeight w:val="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1 038 895,61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930 839,57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6AFE" w:rsidRPr="004D6AFE" w:rsidRDefault="004D6AFE" w:rsidP="004D6AFE">
            <w:pPr>
              <w:autoSpaceDE w:val="0"/>
              <w:spacing w:after="0" w:line="57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D6A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89,60</w:t>
            </w:r>
          </w:p>
        </w:tc>
      </w:tr>
    </w:tbl>
    <w:p w:rsidR="004D6AFE" w:rsidRPr="00110C74" w:rsidRDefault="004D6AFE" w:rsidP="00110C74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Как следует из таблицы, наибольший удельный вес расходов приходится на отрасль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Образование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 Эта позиция остаётся стабильной на протяжении ряда лет. Сеть бюджетных учреждений системы образования представлена 15-тью дошкольными учреждениями, 13-тью общеобразовательными учреждениями, 3-мя учреждениями дополнительного образования. За 2014 год 67,44% всех расходов направлялось на эту отрасль. Повышение оплаты труда работников образовательных учреждений, определенное Указами Президента РФ от 07.05.2012 года №597 и от 01.06.2012 года №621, продолжилось в 2014 году. Данное обстоятельство способствовало формированию высокого удельного веса расходов на «Образование» в общем объеме расходов Дальнегорского городского округа.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Следующими значимыми расходами по удельному весу (как плановые, так и фактические расходы) являются расходы по разделам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Общегосударственные вопросы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«Жилищно-коммунальное хозяйство»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и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Культура и кинематография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». Расходы на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Общегосударственные вопросы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включают как расходы на содержание органов местного самоуправления, так и расходы на реализацию функций, возложенных на эти органы. Расходы на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Культуру и кинематографию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осуществляются на содержание 5 бюджетных учреждений культуры клубного типа, центральной библиотечной сети, музейно-выставочного центра, детско-юношеской спортивной школы и детской школы искусств. По данной отрасли высокий процент исполнения расходов объясняется теми же причинами, что и по отрасли «Образование»: в 2014 году продолжилось повышение заработной платы работников муниципальных бюджетных учреждений культуры, определенное вышеперечисленными Указами Президента РФ. 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 разделу «Национальная безопасность и правоохранительная деятельность» процент исполнения расходов ниже установленного норматива на 20,20%. Это объясняется осуществлением расходования средств, поступивших из резервного фонда Правительства Российской Федерации по предупреждению и ликвидации чрезвычайных ситуаций и последствий стихийных бедствий, по фактическим затратам.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По разделу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«Жилищно-коммунальное хозяйство»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отклонение фактических расходов от плановых значений составило 50,07%. Причина отклонения – финансирование мероприятий второго этапа выполнения работ в рамках муниципальной программы по переселению граждан из аварийного жилищного фонда будет произведено в 2015 году.</w:t>
      </w: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Низкий процент исполнения расходов за отчетный период приходится также на разделы «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Национальная экономика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и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«Физическая культура и спорт» 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причине поступления субсидий из краевого бюджета не в полном объеме.</w:t>
      </w:r>
    </w:p>
    <w:p w:rsidR="004D6AFE" w:rsidRDefault="00B76ED4" w:rsidP="0095040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Подробный анализ исполнения бюджета по разделам, подразделам и целевым статьям представлен в Р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асшифровке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отдельных статей расходов бюджета </w:t>
      </w:r>
      <w:r w:rsidRPr="00110C74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lastRenderedPageBreak/>
        <w:t>Дальнегорского городского округа за 2014 год</w:t>
      </w: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которая является неотъемлемой частью пояснительной записки.</w:t>
      </w:r>
    </w:p>
    <w:p w:rsidR="00950408" w:rsidRPr="004D6AFE" w:rsidRDefault="00950408" w:rsidP="00950408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110C74" w:rsidRDefault="004D6AFE" w:rsidP="00110C7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3.3. Анализ исполнения бюджета Дальнегорского городского округа по источникам финансирования дефицита бюджета</w:t>
      </w:r>
    </w:p>
    <w:p w:rsidR="00DF3AC5" w:rsidRDefault="004D6AFE" w:rsidP="009504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10C74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Плановый дефицит на 2014 год утверждён в размере 62 730 128,07 рублей. Фактически бюджет по итогам 2014 года исполнен с профицитом в размере 5 996 448,06 руб.</w:t>
      </w:r>
    </w:p>
    <w:p w:rsidR="00950408" w:rsidRDefault="00950408" w:rsidP="0095040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Начальник финансового управления </w:t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Ю.В. </w:t>
      </w:r>
      <w:proofErr w:type="spellStart"/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>Столярова</w:t>
      </w:r>
      <w:proofErr w:type="spellEnd"/>
    </w:p>
    <w:p w:rsidR="00B76ED4" w:rsidRDefault="00B76ED4" w:rsidP="004D6AFE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4D6AFE" w:rsidRPr="004D6AFE" w:rsidRDefault="004D6AFE" w:rsidP="004D6AF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Начальник бюджетного отдела </w:t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Г.П. </w:t>
      </w:r>
      <w:proofErr w:type="spellStart"/>
      <w:r w:rsidRPr="004D6AFE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Пинская</w:t>
      </w:r>
      <w:proofErr w:type="spellEnd"/>
    </w:p>
    <w:p w:rsidR="004D6AFE" w:rsidRDefault="004D6AFE" w:rsidP="004D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D4" w:rsidRDefault="00B76ED4" w:rsidP="004D6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6ED4" w:rsidSect="00E37ED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684F"/>
    <w:multiLevelType w:val="hybridMultilevel"/>
    <w:tmpl w:val="07989C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C1A21"/>
    <w:multiLevelType w:val="hybridMultilevel"/>
    <w:tmpl w:val="57ACB6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27262"/>
    <w:multiLevelType w:val="hybridMultilevel"/>
    <w:tmpl w:val="3D762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074B7"/>
    <w:multiLevelType w:val="hybridMultilevel"/>
    <w:tmpl w:val="04E2A05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57871B26"/>
    <w:multiLevelType w:val="hybridMultilevel"/>
    <w:tmpl w:val="623E77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8F"/>
    <w:rsid w:val="00012362"/>
    <w:rsid w:val="000432C7"/>
    <w:rsid w:val="001106BA"/>
    <w:rsid w:val="00110C74"/>
    <w:rsid w:val="00115A06"/>
    <w:rsid w:val="00137A8F"/>
    <w:rsid w:val="00180279"/>
    <w:rsid w:val="00182F29"/>
    <w:rsid w:val="00185F4A"/>
    <w:rsid w:val="001F64D5"/>
    <w:rsid w:val="002333AE"/>
    <w:rsid w:val="00284CA4"/>
    <w:rsid w:val="00297212"/>
    <w:rsid w:val="003040CB"/>
    <w:rsid w:val="00312F9E"/>
    <w:rsid w:val="003271B8"/>
    <w:rsid w:val="00351033"/>
    <w:rsid w:val="0036524E"/>
    <w:rsid w:val="003A555F"/>
    <w:rsid w:val="003C63BD"/>
    <w:rsid w:val="003D4BA2"/>
    <w:rsid w:val="003E0DB3"/>
    <w:rsid w:val="00413680"/>
    <w:rsid w:val="00447BE7"/>
    <w:rsid w:val="004633BA"/>
    <w:rsid w:val="00471293"/>
    <w:rsid w:val="004B1B55"/>
    <w:rsid w:val="004D6AFE"/>
    <w:rsid w:val="004E6212"/>
    <w:rsid w:val="00522582"/>
    <w:rsid w:val="005424D8"/>
    <w:rsid w:val="00544CD4"/>
    <w:rsid w:val="00562D81"/>
    <w:rsid w:val="00762BB0"/>
    <w:rsid w:val="00776D14"/>
    <w:rsid w:val="007D4948"/>
    <w:rsid w:val="007E79EA"/>
    <w:rsid w:val="008048AB"/>
    <w:rsid w:val="00824CC4"/>
    <w:rsid w:val="00827813"/>
    <w:rsid w:val="008C3E8F"/>
    <w:rsid w:val="008E388A"/>
    <w:rsid w:val="00950408"/>
    <w:rsid w:val="00A572DF"/>
    <w:rsid w:val="00A75F2D"/>
    <w:rsid w:val="00AB645D"/>
    <w:rsid w:val="00AD123C"/>
    <w:rsid w:val="00B17D4E"/>
    <w:rsid w:val="00B321FF"/>
    <w:rsid w:val="00B722FF"/>
    <w:rsid w:val="00B76ED4"/>
    <w:rsid w:val="00B97754"/>
    <w:rsid w:val="00BB73A8"/>
    <w:rsid w:val="00BF204B"/>
    <w:rsid w:val="00C307B8"/>
    <w:rsid w:val="00C55C32"/>
    <w:rsid w:val="00D10EE3"/>
    <w:rsid w:val="00D5199E"/>
    <w:rsid w:val="00D51E87"/>
    <w:rsid w:val="00DA0DFA"/>
    <w:rsid w:val="00DA122B"/>
    <w:rsid w:val="00DA7E0F"/>
    <w:rsid w:val="00DB50D3"/>
    <w:rsid w:val="00DD774B"/>
    <w:rsid w:val="00DE695A"/>
    <w:rsid w:val="00DF3AC5"/>
    <w:rsid w:val="00DF64E7"/>
    <w:rsid w:val="00E37ED0"/>
    <w:rsid w:val="00E73486"/>
    <w:rsid w:val="00E7547C"/>
    <w:rsid w:val="00EB2752"/>
    <w:rsid w:val="00EB508D"/>
    <w:rsid w:val="00EF14A4"/>
    <w:rsid w:val="00F812A3"/>
    <w:rsid w:val="00F86D49"/>
    <w:rsid w:val="00F9536D"/>
    <w:rsid w:val="00FE0EB0"/>
    <w:rsid w:val="00FE49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A"/>
  </w:style>
  <w:style w:type="paragraph" w:styleId="1">
    <w:name w:val="heading 1"/>
    <w:basedOn w:val="a"/>
    <w:link w:val="10"/>
    <w:uiPriority w:val="9"/>
    <w:qFormat/>
    <w:rsid w:val="004D6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AF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F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6AF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sonormal1">
    <w:name w:val="msonormal1"/>
    <w:basedOn w:val="a"/>
    <w:uiPriority w:val="99"/>
    <w:semiHidden/>
    <w:rsid w:val="004D6A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customStyle="1" w:styleId="style8">
    <w:name w:val="style8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semiHidden/>
    <w:rsid w:val="004D6AFE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38">
    <w:name w:val="style38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44">
    <w:name w:val="style44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semiHidden/>
    <w:rsid w:val="004D6AFE"/>
    <w:pPr>
      <w:spacing w:before="100" w:beforeAutospacing="1" w:after="100" w:afterAutospacing="1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54">
    <w:name w:val="style54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55">
    <w:name w:val="style55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58">
    <w:name w:val="style58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semiHidden/>
    <w:rsid w:val="004D6AFE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semiHidden/>
    <w:rsid w:val="004D6AFE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u w:val="single"/>
      <w:lang w:eastAsia="ru-RU"/>
    </w:rPr>
  </w:style>
  <w:style w:type="paragraph" w:customStyle="1" w:styleId="style63">
    <w:name w:val="style63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msonormalstyletext-align">
    <w:name w:val="msonormalstyle=&quot;text-align:"/>
    <w:basedOn w:val="a"/>
    <w:uiPriority w:val="99"/>
    <w:semiHidden/>
    <w:rsid w:val="004D6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tyle521">
    <w:name w:val="style521"/>
    <w:basedOn w:val="a0"/>
    <w:rsid w:val="004D6AFE"/>
    <w:rPr>
      <w:rFonts w:ascii="Times New Roman" w:hAnsi="Times New Roman" w:cs="Times New Roman" w:hint="default"/>
      <w:sz w:val="20"/>
      <w:szCs w:val="20"/>
    </w:rPr>
  </w:style>
  <w:style w:type="character" w:customStyle="1" w:styleId="style561">
    <w:name w:val="style561"/>
    <w:basedOn w:val="a0"/>
    <w:rsid w:val="004D6AFE"/>
    <w:rPr>
      <w:sz w:val="20"/>
      <w:szCs w:val="20"/>
    </w:rPr>
  </w:style>
  <w:style w:type="character" w:customStyle="1" w:styleId="style551">
    <w:name w:val="style551"/>
    <w:basedOn w:val="a0"/>
    <w:rsid w:val="004D6AFE"/>
    <w:rPr>
      <w:rFonts w:ascii="Times New Roman" w:hAnsi="Times New Roman" w:cs="Times New Roman" w:hint="default"/>
    </w:rPr>
  </w:style>
  <w:style w:type="character" w:customStyle="1" w:styleId="style631">
    <w:name w:val="style631"/>
    <w:basedOn w:val="a0"/>
    <w:rsid w:val="004D6AFE"/>
    <w:rPr>
      <w:rFonts w:ascii="Times New Roman" w:hAnsi="Times New Roman" w:cs="Times New Roman" w:hint="default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D6AF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D6AFE"/>
    <w:rPr>
      <w:color w:val="800080"/>
      <w:u w:val="single"/>
    </w:rPr>
  </w:style>
  <w:style w:type="character" w:customStyle="1" w:styleId="apple-converted-space">
    <w:name w:val="apple-converted-space"/>
    <w:basedOn w:val="a0"/>
    <w:rsid w:val="00AD123C"/>
  </w:style>
  <w:style w:type="numbering" w:customStyle="1" w:styleId="11">
    <w:name w:val="Нет списка1"/>
    <w:next w:val="a2"/>
    <w:uiPriority w:val="99"/>
    <w:semiHidden/>
    <w:unhideWhenUsed/>
    <w:rsid w:val="00B76ED4"/>
  </w:style>
  <w:style w:type="table" w:styleId="a9">
    <w:name w:val="Table Grid"/>
    <w:basedOn w:val="a1"/>
    <w:uiPriority w:val="59"/>
    <w:rsid w:val="00B76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a">
    <w:name w:val="header"/>
    <w:basedOn w:val="a"/>
    <w:link w:val="ab"/>
    <w:uiPriority w:val="99"/>
    <w:semiHidden/>
    <w:unhideWhenUsed/>
    <w:rsid w:val="00B76E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6ED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76ED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76ED4"/>
    <w:rPr>
      <w:rFonts w:ascii="Calibri" w:eastAsia="Calibri" w:hAnsi="Calibri" w:cs="Times New Roman"/>
    </w:rPr>
  </w:style>
  <w:style w:type="character" w:customStyle="1" w:styleId="o">
    <w:name w:val="o"/>
    <w:basedOn w:val="a0"/>
    <w:rsid w:val="00B76ED4"/>
  </w:style>
  <w:style w:type="paragraph" w:styleId="ae">
    <w:name w:val="No Spacing"/>
    <w:uiPriority w:val="1"/>
    <w:qFormat/>
    <w:rsid w:val="00B76E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5368</Words>
  <Characters>30601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35898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Владимировна</dc:creator>
  <cp:lastModifiedBy>RePack by SPecialiST</cp:lastModifiedBy>
  <cp:revision>3</cp:revision>
  <cp:lastPrinted>2015-02-18T09:16:00Z</cp:lastPrinted>
  <dcterms:created xsi:type="dcterms:W3CDTF">2015-05-08T05:04:00Z</dcterms:created>
  <dcterms:modified xsi:type="dcterms:W3CDTF">2015-05-08T05:13:00Z</dcterms:modified>
</cp:coreProperties>
</file>