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E579AF">
        <w:rPr>
          <w:rFonts w:ascii="Times New Roman" w:hAnsi="Times New Roman"/>
          <w:sz w:val="24"/>
          <w:szCs w:val="24"/>
        </w:rPr>
        <w:t>1</w:t>
      </w:r>
      <w:r w:rsidR="00710F43">
        <w:rPr>
          <w:rFonts w:ascii="Times New Roman" w:hAnsi="Times New Roman"/>
          <w:sz w:val="24"/>
          <w:szCs w:val="24"/>
        </w:rPr>
        <w:t>9</w:t>
      </w:r>
      <w:r w:rsidRPr="00F032D5">
        <w:rPr>
          <w:rFonts w:ascii="Times New Roman" w:hAnsi="Times New Roman"/>
          <w:sz w:val="24"/>
          <w:szCs w:val="24"/>
        </w:rPr>
        <w:t>.0</w:t>
      </w:r>
      <w:r w:rsidR="00E579AF">
        <w:rPr>
          <w:rFonts w:ascii="Times New Roman" w:hAnsi="Times New Roman"/>
          <w:sz w:val="24"/>
          <w:szCs w:val="24"/>
        </w:rPr>
        <w:t>4</w:t>
      </w:r>
      <w:r w:rsidRPr="00F032D5">
        <w:rPr>
          <w:rFonts w:ascii="Times New Roman" w:hAnsi="Times New Roman"/>
          <w:sz w:val="24"/>
          <w:szCs w:val="24"/>
        </w:rPr>
        <w:t>.2019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г. Дальнегорск, 201</w:t>
      </w:r>
      <w:r w:rsidR="00472970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одпрограмма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55595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</w:t>
            </w:r>
            <w:r w:rsidR="00EA3FCC" w:rsidRPr="00555956">
              <w:rPr>
                <w:sz w:val="26"/>
                <w:szCs w:val="26"/>
              </w:rPr>
              <w:t>тдельные мероприятия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6C5FAD" w:rsidRPr="00555956">
              <w:rPr>
                <w:sz w:val="26"/>
                <w:szCs w:val="26"/>
              </w:rPr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555956">
              <w:rPr>
                <w:sz w:val="26"/>
                <w:szCs w:val="26"/>
              </w:rPr>
              <w:t>в</w:t>
            </w:r>
            <w:proofErr w:type="gramEnd"/>
            <w:r w:rsidR="009912D9" w:rsidRPr="00555956">
              <w:rPr>
                <w:sz w:val="26"/>
                <w:szCs w:val="26"/>
              </w:rPr>
              <w:t xml:space="preserve"> </w:t>
            </w:r>
            <w:proofErr w:type="gramStart"/>
            <w:r w:rsidR="006C5FAD" w:rsidRPr="00555956">
              <w:rPr>
                <w:sz w:val="26"/>
                <w:szCs w:val="26"/>
              </w:rPr>
              <w:t>Дальнегорском</w:t>
            </w:r>
            <w:proofErr w:type="gramEnd"/>
            <w:r w:rsidR="006C5FAD" w:rsidRPr="00555956">
              <w:rPr>
                <w:sz w:val="26"/>
                <w:szCs w:val="26"/>
              </w:rPr>
              <w:t xml:space="preserve"> городском округе</w:t>
            </w:r>
            <w:r w:rsidR="00D2053A" w:rsidRPr="00555956">
              <w:rPr>
                <w:sz w:val="26"/>
                <w:szCs w:val="26"/>
              </w:rPr>
              <w:t>;</w:t>
            </w:r>
          </w:p>
          <w:p w:rsidR="005832D0" w:rsidRPr="00555956" w:rsidRDefault="005832D0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5F598A" w:rsidRPr="00555956" w:rsidRDefault="00AF0821" w:rsidP="00A9376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2D7E15" w:rsidRPr="00555956">
              <w:rPr>
                <w:sz w:val="26"/>
                <w:szCs w:val="26"/>
              </w:rPr>
              <w:t>азвитие массового спорта</w:t>
            </w:r>
            <w:r w:rsidR="00A93765" w:rsidRPr="00555956">
              <w:rPr>
                <w:sz w:val="26"/>
                <w:szCs w:val="26"/>
              </w:rPr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555956" w:rsidRDefault="000605D9" w:rsidP="006A4079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 w:rsidRPr="00555956">
              <w:rPr>
                <w:i w:val="0"/>
                <w:szCs w:val="26"/>
              </w:rPr>
              <w:t>№</w:t>
            </w:r>
            <w:r w:rsidRPr="00555956">
              <w:rPr>
                <w:i w:val="0"/>
                <w:szCs w:val="26"/>
              </w:rPr>
              <w:t xml:space="preserve"> 329-ФЗ;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B74271" w:rsidRPr="00555956">
              <w:rPr>
                <w:sz w:val="26"/>
                <w:szCs w:val="26"/>
              </w:rPr>
              <w:t>21.01.2015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B74271" w:rsidRPr="00555956">
              <w:rPr>
                <w:sz w:val="26"/>
                <w:szCs w:val="26"/>
              </w:rPr>
              <w:t>30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</w:t>
            </w:r>
            <w:r w:rsidR="00B74271" w:rsidRPr="00555956">
              <w:rPr>
                <w:sz w:val="26"/>
                <w:szCs w:val="26"/>
              </w:rPr>
              <w:t>ссийской Федерации на 2015 - 2020</w:t>
            </w:r>
            <w:r w:rsidRPr="00555956">
              <w:rPr>
                <w:sz w:val="26"/>
                <w:szCs w:val="26"/>
              </w:rPr>
              <w:t xml:space="preserve"> годы»;</w:t>
            </w:r>
          </w:p>
          <w:p w:rsidR="00B3218B" w:rsidRPr="00555956" w:rsidRDefault="000574F6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постановление  Правительства  РФ  от 15.04.2014  № 308</w:t>
            </w:r>
            <w:r w:rsidR="00B74271"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3218B" w:rsidRPr="00555956">
              <w:rPr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0574F6" w:rsidRPr="00555956">
              <w:rPr>
                <w:sz w:val="26"/>
                <w:szCs w:val="26"/>
              </w:rPr>
              <w:t>постановление</w:t>
            </w:r>
            <w:r w:rsidRPr="005559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0574F6" w:rsidRPr="00555956">
              <w:rPr>
                <w:sz w:val="26"/>
                <w:szCs w:val="26"/>
              </w:rPr>
              <w:t>15.04.2014 № 302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 xml:space="preserve">Об утверждении государственной программы Российской Федерации </w:t>
            </w:r>
            <w:r w:rsidRPr="00555956">
              <w:rPr>
                <w:sz w:val="26"/>
                <w:szCs w:val="26"/>
              </w:rPr>
              <w:lastRenderedPageBreak/>
              <w:t>«Развитие физической культуры и спорта»;</w:t>
            </w:r>
          </w:p>
          <w:p w:rsidR="00EA3FCC" w:rsidRPr="00555956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Pr="00555956" w:rsidRDefault="0057217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- </w:t>
            </w:r>
            <w:r w:rsidR="000605D9" w:rsidRPr="00555956">
              <w:rPr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555956" w:rsidRDefault="000605D9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A1663B" w:rsidRDefault="00A1663B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C09C7" w:rsidRPr="00C539D4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5C09C7">
              <w:rPr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539D4">
              <w:rPr>
                <w:sz w:val="26"/>
                <w:szCs w:val="26"/>
              </w:rPr>
              <w:t xml:space="preserve">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5C09C7" w:rsidRPr="00555956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спорта.</w:t>
            </w:r>
            <w:proofErr w:type="gramEnd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</w:t>
            </w:r>
            <w:r w:rsidRPr="00555956">
              <w:rPr>
                <w:sz w:val="26"/>
                <w:szCs w:val="26"/>
              </w:rPr>
              <w:lastRenderedPageBreak/>
              <w:t xml:space="preserve">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Финансирование мероприятий муниципальной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>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657C8B">
              <w:rPr>
                <w:rFonts w:ascii="Times New Roman" w:hAnsi="Times New Roman"/>
                <w:sz w:val="26"/>
                <w:szCs w:val="26"/>
              </w:rPr>
              <w:t>405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57C8B">
              <w:rPr>
                <w:rFonts w:ascii="Times New Roman" w:hAnsi="Times New Roman"/>
                <w:sz w:val="26"/>
                <w:szCs w:val="26"/>
              </w:rPr>
              <w:t>342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657C8B">
              <w:rPr>
                <w:rFonts w:ascii="Times New Roman" w:hAnsi="Times New Roman"/>
                <w:sz w:val="26"/>
                <w:szCs w:val="26"/>
              </w:rPr>
              <w:t>105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57C8B">
              <w:rPr>
                <w:rFonts w:ascii="Times New Roman" w:hAnsi="Times New Roman"/>
                <w:sz w:val="26"/>
                <w:szCs w:val="26"/>
              </w:rPr>
              <w:t>417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83 214,8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74 564,8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 год – 59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564,8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29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7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 25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50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58 408,0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56 678,0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53 678,0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7</w:t>
            </w:r>
            <w:r w:rsidR="00657C8B">
              <w:rPr>
                <w:rFonts w:ascii="Times New Roman" w:hAnsi="Times New Roman"/>
                <w:sz w:val="26"/>
                <w:szCs w:val="26"/>
              </w:rPr>
              <w:t>7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7C8B">
              <w:rPr>
                <w:rFonts w:ascii="Times New Roman" w:hAnsi="Times New Roman"/>
                <w:sz w:val="26"/>
                <w:szCs w:val="26"/>
              </w:rPr>
              <w:t>633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F52D5F" w:rsidRPr="00F52D5F">
              <w:rPr>
                <w:rFonts w:ascii="Times New Roman" w:hAnsi="Times New Roman"/>
                <w:sz w:val="26"/>
                <w:szCs w:val="26"/>
              </w:rPr>
              <w:t>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657C8B">
              <w:rPr>
                <w:rFonts w:ascii="Times New Roman" w:hAnsi="Times New Roman"/>
                <w:sz w:val="26"/>
                <w:szCs w:val="26"/>
              </w:rPr>
              <w:t>37 024,7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18 920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12 00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30 452,7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5 886,8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5 886,8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 xml:space="preserve">5 886,8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0F6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5 886,8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повышение уровня удовлетворенности населения Дальнегорского городского округа качеством 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45,98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F83C7F" w:rsidRDefault="00F83C7F" w:rsidP="00710F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C539D4">
              <w:rPr>
                <w:sz w:val="26"/>
                <w:szCs w:val="26"/>
              </w:rPr>
              <w:t>доля детей и молодежи</w:t>
            </w:r>
            <w:r w:rsidR="00C24CBD" w:rsidRPr="00C24CBD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</w:t>
            </w:r>
            <w:r w:rsidR="00E67B60" w:rsidRPr="00C24CBD">
              <w:rPr>
                <w:sz w:val="26"/>
                <w:szCs w:val="26"/>
              </w:rPr>
              <w:t xml:space="preserve"> </w:t>
            </w:r>
            <w:r w:rsidR="00C539D4">
              <w:rPr>
                <w:sz w:val="26"/>
                <w:szCs w:val="26"/>
              </w:rPr>
              <w:t xml:space="preserve">детей и молодежи </w:t>
            </w:r>
            <w:r w:rsidR="00E67B60" w:rsidRPr="00C24CBD">
              <w:rPr>
                <w:sz w:val="26"/>
                <w:szCs w:val="26"/>
              </w:rPr>
              <w:t xml:space="preserve">с </w:t>
            </w:r>
            <w:r w:rsidR="00D41263" w:rsidRPr="00C24CBD">
              <w:rPr>
                <w:sz w:val="26"/>
                <w:szCs w:val="26"/>
              </w:rPr>
              <w:t>59,1</w:t>
            </w:r>
            <w:r w:rsidR="00EA18C3" w:rsidRPr="00C24CBD">
              <w:rPr>
                <w:sz w:val="26"/>
                <w:szCs w:val="26"/>
              </w:rPr>
              <w:t>1</w:t>
            </w:r>
            <w:r w:rsidR="00E21CB4" w:rsidRPr="00C24CBD">
              <w:rPr>
                <w:sz w:val="26"/>
                <w:szCs w:val="26"/>
              </w:rPr>
              <w:t xml:space="preserve"> %  в 201</w:t>
            </w:r>
            <w:r w:rsidR="00EA18C3" w:rsidRPr="00C24CBD">
              <w:rPr>
                <w:sz w:val="26"/>
                <w:szCs w:val="26"/>
              </w:rPr>
              <w:t>7</w:t>
            </w:r>
            <w:r w:rsidR="00E67B60" w:rsidRPr="00C24CBD">
              <w:rPr>
                <w:sz w:val="26"/>
                <w:szCs w:val="26"/>
              </w:rPr>
              <w:t xml:space="preserve"> году до </w:t>
            </w:r>
            <w:r w:rsidR="00710F43">
              <w:rPr>
                <w:sz w:val="26"/>
                <w:szCs w:val="26"/>
              </w:rPr>
              <w:t>81</w:t>
            </w:r>
            <w:r w:rsidR="00875DE1">
              <w:rPr>
                <w:sz w:val="26"/>
                <w:szCs w:val="26"/>
              </w:rPr>
              <w:t>,00</w:t>
            </w:r>
            <w:r w:rsidR="00710F43">
              <w:rPr>
                <w:sz w:val="26"/>
                <w:szCs w:val="26"/>
              </w:rPr>
              <w:t xml:space="preserve"> </w:t>
            </w:r>
            <w:r w:rsidR="00D41263" w:rsidRPr="00C24CBD">
              <w:rPr>
                <w:sz w:val="26"/>
                <w:szCs w:val="26"/>
              </w:rPr>
              <w:t xml:space="preserve">% </w:t>
            </w:r>
            <w:r w:rsidR="00E67B60" w:rsidRPr="00C24CBD">
              <w:rPr>
                <w:sz w:val="26"/>
                <w:szCs w:val="26"/>
              </w:rPr>
              <w:t xml:space="preserve"> в 2022 году</w:t>
            </w:r>
            <w:r w:rsidR="00E21CB4" w:rsidRPr="00C24CBD">
              <w:rPr>
                <w:sz w:val="26"/>
                <w:szCs w:val="26"/>
              </w:rPr>
              <w:t>.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</w:rPr>
              <w:t xml:space="preserve"> </w:t>
            </w:r>
            <w:r w:rsidRPr="00C539D4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25,70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 xml:space="preserve">41,30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4,6</w:t>
            </w:r>
            <w:r w:rsidR="00875DE1">
              <w:rPr>
                <w:sz w:val="26"/>
                <w:szCs w:val="26"/>
              </w:rPr>
              <w:t>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11,8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52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555956" w:rsidRDefault="005C09C7" w:rsidP="00C539D4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</w:t>
      </w:r>
      <w:r w:rsidRPr="00C17549">
        <w:rPr>
          <w:rFonts w:ascii="Times New Roman" w:hAnsi="Times New Roman"/>
          <w:sz w:val="26"/>
          <w:szCs w:val="26"/>
        </w:rPr>
        <w:lastRenderedPageBreak/>
        <w:t>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D90E2C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  <w:r w:rsidR="00D90E2C"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 xml:space="preserve">муниципальной программы является - </w:t>
      </w:r>
      <w:r w:rsidR="00D90E2C" w:rsidRPr="002D7E15">
        <w:rPr>
          <w:sz w:val="26"/>
          <w:szCs w:val="26"/>
        </w:rPr>
        <w:t xml:space="preserve">обеспечение </w:t>
      </w:r>
      <w:r w:rsidR="00D90E2C">
        <w:rPr>
          <w:sz w:val="26"/>
          <w:szCs w:val="26"/>
        </w:rPr>
        <w:t xml:space="preserve">возможности для </w:t>
      </w:r>
      <w:r w:rsidR="00D90E2C">
        <w:rPr>
          <w:sz w:val="26"/>
          <w:szCs w:val="26"/>
        </w:rPr>
        <w:lastRenderedPageBreak/>
        <w:t>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45,98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4B46">
        <w:rPr>
          <w:rFonts w:ascii="Times New Roman" w:hAnsi="Times New Roman"/>
          <w:sz w:val="26"/>
          <w:szCs w:val="26"/>
        </w:rPr>
        <w:t xml:space="preserve">- </w:t>
      </w:r>
      <w:r w:rsidR="00934B46" w:rsidRPr="00934B46">
        <w:rPr>
          <w:rFonts w:ascii="Times New Roman" w:hAnsi="Times New Roman"/>
          <w:sz w:val="26"/>
          <w:szCs w:val="26"/>
        </w:rPr>
        <w:t>д</w:t>
      </w:r>
      <w:r w:rsidR="005C09C7" w:rsidRPr="00934B46">
        <w:rPr>
          <w:rFonts w:ascii="Times New Roman" w:hAnsi="Times New Roman"/>
          <w:sz w:val="26"/>
          <w:szCs w:val="26"/>
        </w:rPr>
        <w:t>оля детей и молодежи, систематически занимающихся физической культурой и спортом, в общей численности детей и молодежи</w:t>
      </w:r>
      <w:r w:rsidRPr="00934B46">
        <w:rPr>
          <w:rFonts w:ascii="Times New Roman" w:hAnsi="Times New Roman"/>
          <w:sz w:val="26"/>
          <w:szCs w:val="26"/>
        </w:rPr>
        <w:t xml:space="preserve"> с </w:t>
      </w:r>
      <w:r w:rsidR="003717E0" w:rsidRPr="00934B46">
        <w:rPr>
          <w:rFonts w:ascii="Times New Roman" w:hAnsi="Times New Roman"/>
          <w:sz w:val="26"/>
          <w:szCs w:val="26"/>
        </w:rPr>
        <w:t>59,1</w:t>
      </w:r>
      <w:r w:rsidR="00EA18C3" w:rsidRPr="00934B46">
        <w:rPr>
          <w:rFonts w:ascii="Times New Roman" w:hAnsi="Times New Roman"/>
          <w:sz w:val="26"/>
          <w:szCs w:val="26"/>
        </w:rPr>
        <w:t>1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710F43" w:rsidRPr="00934B46">
        <w:rPr>
          <w:rFonts w:ascii="Times New Roman" w:hAnsi="Times New Roman"/>
          <w:sz w:val="26"/>
          <w:szCs w:val="26"/>
        </w:rPr>
        <w:t>8</w:t>
      </w:r>
      <w:r w:rsidR="00B96DE9" w:rsidRPr="00934B46">
        <w:rPr>
          <w:rFonts w:ascii="Times New Roman" w:hAnsi="Times New Roman"/>
          <w:sz w:val="26"/>
          <w:szCs w:val="26"/>
        </w:rPr>
        <w:t>4,3</w:t>
      </w:r>
      <w:r w:rsidR="00FE1FA4">
        <w:rPr>
          <w:rFonts w:ascii="Times New Roman" w:hAnsi="Times New Roman"/>
          <w:sz w:val="26"/>
          <w:szCs w:val="26"/>
        </w:rPr>
        <w:t>0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 xml:space="preserve">22 </w:t>
      </w:r>
      <w:r w:rsidRPr="00934B46">
        <w:rPr>
          <w:rFonts w:ascii="Times New Roman" w:hAnsi="Times New Roman"/>
          <w:sz w:val="26"/>
          <w:szCs w:val="26"/>
        </w:rPr>
        <w:t>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</w:t>
      </w:r>
      <w:r w:rsidR="00C24CBD" w:rsidRPr="00934B46">
        <w:rPr>
          <w:rFonts w:ascii="Times New Roman" w:hAnsi="Times New Roman"/>
          <w:sz w:val="26"/>
          <w:szCs w:val="26"/>
        </w:rPr>
        <w:t xml:space="preserve"> обучающихся (в дошкольных учреждениях, в спортивных школах, в общеобразовательных школах, в колледжах и ВУЗах)  к численности </w:t>
      </w:r>
      <w:r w:rsidR="00816653" w:rsidRPr="00934B46">
        <w:rPr>
          <w:rFonts w:ascii="Times New Roman" w:hAnsi="Times New Roman"/>
          <w:sz w:val="26"/>
          <w:szCs w:val="26"/>
        </w:rPr>
        <w:t xml:space="preserve"> </w:t>
      </w:r>
      <w:r w:rsidR="00C24CBD" w:rsidRPr="00934B46">
        <w:rPr>
          <w:rFonts w:ascii="Times New Roman" w:hAnsi="Times New Roman"/>
          <w:sz w:val="26"/>
          <w:szCs w:val="26"/>
        </w:rPr>
        <w:t>детей и молодежи в возрасте 3-29 лет</w:t>
      </w:r>
      <w:r w:rsidR="00816653" w:rsidRPr="00934B46">
        <w:rPr>
          <w:rFonts w:ascii="Times New Roman" w:hAnsi="Times New Roman"/>
          <w:sz w:val="26"/>
          <w:szCs w:val="26"/>
        </w:rPr>
        <w:t>)</w:t>
      </w:r>
      <w:r w:rsidR="00B96DE9" w:rsidRPr="00934B46">
        <w:rPr>
          <w:rFonts w:ascii="Times New Roman" w:hAnsi="Times New Roman"/>
          <w:sz w:val="26"/>
          <w:szCs w:val="26"/>
        </w:rPr>
        <w:t>;</w:t>
      </w:r>
      <w:proofErr w:type="gramEnd"/>
    </w:p>
    <w:p w:rsidR="005C09C7" w:rsidRPr="00934B46" w:rsidRDefault="005C09C7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FE1FA4">
        <w:rPr>
          <w:rFonts w:ascii="Times New Roman" w:hAnsi="Times New Roman"/>
          <w:sz w:val="26"/>
          <w:szCs w:val="26"/>
        </w:rPr>
        <w:t xml:space="preserve"> </w:t>
      </w:r>
      <w:r w:rsidR="00FE1FA4" w:rsidRPr="00934B46">
        <w:rPr>
          <w:rFonts w:ascii="Times New Roman" w:hAnsi="Times New Roman"/>
          <w:sz w:val="26"/>
          <w:szCs w:val="26"/>
        </w:rPr>
        <w:t xml:space="preserve">с </w:t>
      </w:r>
      <w:r w:rsidR="003352B2">
        <w:rPr>
          <w:rFonts w:ascii="Times New Roman" w:hAnsi="Times New Roman"/>
          <w:sz w:val="26"/>
          <w:szCs w:val="26"/>
        </w:rPr>
        <w:t>25,70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201</w:t>
      </w:r>
      <w:r w:rsidR="00FE1FA4">
        <w:rPr>
          <w:rFonts w:ascii="Times New Roman" w:hAnsi="Times New Roman"/>
          <w:sz w:val="26"/>
          <w:szCs w:val="26"/>
        </w:rPr>
        <w:t>9</w:t>
      </w:r>
      <w:r w:rsidR="00FE1FA4"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3352B2">
        <w:rPr>
          <w:rFonts w:ascii="Times New Roman" w:hAnsi="Times New Roman"/>
          <w:sz w:val="26"/>
          <w:szCs w:val="26"/>
        </w:rPr>
        <w:t>41</w:t>
      </w:r>
      <w:r w:rsidR="00FE1FA4" w:rsidRPr="00934B46">
        <w:rPr>
          <w:rFonts w:ascii="Times New Roman" w:hAnsi="Times New Roman"/>
          <w:sz w:val="26"/>
          <w:szCs w:val="26"/>
        </w:rPr>
        <w:t>,3</w:t>
      </w:r>
      <w:r w:rsidR="00FE1FA4">
        <w:rPr>
          <w:rFonts w:ascii="Times New Roman" w:hAnsi="Times New Roman"/>
          <w:sz w:val="26"/>
          <w:szCs w:val="26"/>
        </w:rPr>
        <w:t>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="00893C39" w:rsidRPr="00934B46">
        <w:rPr>
          <w:rFonts w:ascii="Times New Roman" w:hAnsi="Times New Roman"/>
          <w:sz w:val="26"/>
          <w:szCs w:val="26"/>
        </w:rPr>
        <w:t xml:space="preserve"> </w:t>
      </w:r>
      <w:r w:rsidR="00B96DE9" w:rsidRPr="00934B46">
        <w:rPr>
          <w:rFonts w:ascii="Times New Roman" w:hAnsi="Times New Roman"/>
          <w:sz w:val="26"/>
          <w:szCs w:val="26"/>
        </w:rPr>
        <w:t xml:space="preserve"> (соотношение граждан </w:t>
      </w:r>
      <w:r w:rsidR="00893C39" w:rsidRPr="00934B46">
        <w:rPr>
          <w:rFonts w:ascii="Times New Roman" w:hAnsi="Times New Roman"/>
          <w:sz w:val="26"/>
          <w:szCs w:val="26"/>
        </w:rPr>
        <w:t>(женщины 30-54 года, мужчины 30-59 лет)</w:t>
      </w:r>
      <w:r w:rsidR="00B96DE9" w:rsidRPr="00934B46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 к общей численности граждан</w:t>
      </w:r>
      <w:r w:rsidRPr="00934B46">
        <w:rPr>
          <w:rFonts w:ascii="Times New Roman" w:hAnsi="Times New Roman"/>
          <w:sz w:val="26"/>
          <w:szCs w:val="26"/>
        </w:rPr>
        <w:t xml:space="preserve"> </w:t>
      </w:r>
      <w:r w:rsidR="00893C39" w:rsidRPr="00934B46">
        <w:rPr>
          <w:rFonts w:ascii="Times New Roman" w:hAnsi="Times New Roman"/>
          <w:sz w:val="26"/>
          <w:szCs w:val="26"/>
        </w:rPr>
        <w:t>среднего возраста</w:t>
      </w:r>
      <w:r w:rsidR="00B96DE9" w:rsidRPr="00934B46">
        <w:rPr>
          <w:rFonts w:ascii="Times New Roman" w:hAnsi="Times New Roman"/>
          <w:sz w:val="26"/>
          <w:szCs w:val="26"/>
        </w:rPr>
        <w:t>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4,60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11,80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(соотношение граждан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(женщины 55-79 года, мужчины 60-79 лет)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</w:t>
      </w:r>
      <w:r w:rsidR="002175F3" w:rsidRPr="00934B46">
        <w:rPr>
          <w:rFonts w:eastAsia="Calibri"/>
          <w:sz w:val="26"/>
          <w:szCs w:val="26"/>
          <w:lang w:eastAsia="en-US"/>
        </w:rPr>
        <w:t>систематически занимающихся физической культурой и спортом к общей численности граждан данного возраста)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lastRenderedPageBreak/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52,00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>программы подпрограмм и отдельных мероприятий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доступной среды</w:t>
      </w:r>
      <w:r w:rsidR="00A93765">
        <w:rPr>
          <w:sz w:val="26"/>
          <w:szCs w:val="26"/>
        </w:rPr>
        <w:t>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</w:t>
      </w:r>
      <w:r>
        <w:rPr>
          <w:sz w:val="26"/>
          <w:szCs w:val="26"/>
        </w:rPr>
        <w:t xml:space="preserve"> услуги.</w:t>
      </w:r>
    </w:p>
    <w:p w:rsidR="00D90E2C" w:rsidRPr="00FF6C7A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 </w:t>
      </w:r>
      <w:r w:rsidR="00D90E2C"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 Развитие материально-технической базы для занятий физической культурой и спортом в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Дальнегорском городском округе:</w:t>
      </w:r>
      <w:bookmarkStart w:id="0" w:name="_GoBack"/>
      <w:bookmarkEnd w:id="0"/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</w:t>
      </w:r>
      <w:r w:rsidR="002124C4">
        <w:rPr>
          <w:sz w:val="26"/>
          <w:szCs w:val="26"/>
        </w:rPr>
        <w:t>3</w:t>
      </w:r>
      <w:r w:rsidRPr="00FF6C7A">
        <w:rPr>
          <w:sz w:val="26"/>
          <w:szCs w:val="26"/>
        </w:rPr>
        <w:t>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Default="004E0897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124C4">
        <w:rPr>
          <w:sz w:val="26"/>
          <w:szCs w:val="26"/>
        </w:rPr>
        <w:t>4</w:t>
      </w:r>
      <w:r>
        <w:rPr>
          <w:sz w:val="26"/>
          <w:szCs w:val="26"/>
        </w:rPr>
        <w:t>. Строительство бетонных оснований и установка оборудования универсальных</w:t>
      </w:r>
      <w:r w:rsidR="002124C4">
        <w:rPr>
          <w:sz w:val="26"/>
          <w:szCs w:val="26"/>
        </w:rPr>
        <w:t xml:space="preserve"> спортивных площадок.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2124C4">
        <w:rPr>
          <w:sz w:val="26"/>
          <w:szCs w:val="26"/>
        </w:rPr>
        <w:t>2.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34B46" w:rsidRPr="00934B46">
        <w:rPr>
          <w:sz w:val="26"/>
          <w:szCs w:val="26"/>
        </w:rPr>
        <w:t>Размещение многофункциональных спортивных площадок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0E2C" w:rsidRPr="00FF6C7A">
        <w:rPr>
          <w:sz w:val="26"/>
          <w:szCs w:val="26"/>
        </w:rPr>
        <w:t xml:space="preserve">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="00D90E2C"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="00D90E2C" w:rsidRPr="00FF6C7A">
        <w:rPr>
          <w:sz w:val="26"/>
          <w:szCs w:val="26"/>
        </w:rPr>
        <w:t>: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 w:rsidRPr="00FF6C7A">
        <w:rPr>
          <w:sz w:val="26"/>
          <w:szCs w:val="26"/>
        </w:rPr>
        <w:t>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="00FF6C7A" w:rsidRPr="00FF6C7A">
        <w:rPr>
          <w:sz w:val="26"/>
          <w:szCs w:val="26"/>
        </w:rPr>
        <w:t>оборудования и спортивных транспортных средств</w:t>
      </w:r>
      <w:r w:rsidR="00FF6C7A">
        <w:rPr>
          <w:sz w:val="26"/>
          <w:szCs w:val="26"/>
        </w:rPr>
        <w:t>;</w:t>
      </w:r>
    </w:p>
    <w:p w:rsid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6C7A">
        <w:rPr>
          <w:sz w:val="26"/>
          <w:szCs w:val="26"/>
        </w:rPr>
        <w:t xml:space="preserve">.4. </w:t>
      </w:r>
      <w:r w:rsidR="00C46B42">
        <w:rPr>
          <w:sz w:val="26"/>
          <w:szCs w:val="26"/>
        </w:rPr>
        <w:t xml:space="preserve">  </w:t>
      </w:r>
      <w:r w:rsidR="00FF6C7A"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2124C4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6B42">
        <w:rPr>
          <w:sz w:val="26"/>
          <w:szCs w:val="26"/>
        </w:rPr>
        <w:t xml:space="preserve">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  <w:r w:rsidR="00EA1A41">
        <w:rPr>
          <w:sz w:val="26"/>
          <w:szCs w:val="26"/>
        </w:rPr>
        <w:t>.</w:t>
      </w:r>
    </w:p>
    <w:p w:rsidR="00D90E2C" w:rsidRPr="00F65AB7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</w:t>
      </w:r>
      <w:r w:rsidRPr="006D2012">
        <w:rPr>
          <w:sz w:val="26"/>
          <w:szCs w:val="26"/>
        </w:rPr>
        <w:lastRenderedPageBreak/>
        <w:t xml:space="preserve">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>5.2. Реализация отдельного мероприятия: «развитие материально-технической базы для занятий физической культурой и спортом в</w:t>
      </w:r>
      <w:r w:rsidR="00FF6C7A" w:rsidRPr="00EA1A41">
        <w:rPr>
          <w:sz w:val="26"/>
          <w:szCs w:val="26"/>
        </w:rPr>
        <w:t xml:space="preserve"> </w:t>
      </w:r>
      <w:r w:rsidRPr="00EA1A41">
        <w:rPr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B56F8" w:rsidRPr="006D2012" w:rsidRDefault="009B56F8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657C8B" w:rsidRPr="00F52D5F" w:rsidRDefault="00657C8B" w:rsidP="00657C8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405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342</w:t>
      </w:r>
      <w:r w:rsidRPr="00F52D5F">
        <w:rPr>
          <w:rFonts w:ascii="Times New Roman" w:hAnsi="Times New Roman"/>
          <w:sz w:val="26"/>
          <w:szCs w:val="26"/>
        </w:rPr>
        <w:t>,6 тыс. руб., в том числе: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105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417</w:t>
      </w:r>
      <w:r w:rsidRPr="00F52D5F">
        <w:rPr>
          <w:rFonts w:ascii="Times New Roman" w:hAnsi="Times New Roman"/>
          <w:sz w:val="26"/>
          <w:szCs w:val="26"/>
        </w:rPr>
        <w:t>,1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2020 год – 83 214,8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2021 год – 74 564,8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59 564,8 тыс. руб.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Дальнегорского  городского  округа составляет 297 256,1 тыс. руб., в том числе: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 62 505,5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2020 год – 58 408,0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2021 год – 56 678,0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53 678,0 тыс. руб.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>аевого бюджета составляет 7</w:t>
      </w:r>
      <w:r>
        <w:rPr>
          <w:rFonts w:ascii="Times New Roman" w:hAnsi="Times New Roman"/>
          <w:sz w:val="26"/>
          <w:szCs w:val="26"/>
        </w:rPr>
        <w:t>7</w:t>
      </w:r>
      <w:r w:rsidRPr="00F52D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633</w:t>
      </w:r>
      <w:r w:rsidRPr="00F52D5F">
        <w:rPr>
          <w:rFonts w:ascii="Times New Roman" w:hAnsi="Times New Roman"/>
          <w:sz w:val="26"/>
          <w:szCs w:val="26"/>
        </w:rPr>
        <w:t>,7 тыс. руб., в том числе: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37 024,7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2020 год – 18 920,0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2021 год – 12 000,0 тыс. руб.;</w:t>
      </w:r>
    </w:p>
    <w:p w:rsidR="00657C8B" w:rsidRPr="00F52D5F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657C8B" w:rsidRPr="00DF79D2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lastRenderedPageBreak/>
        <w:t xml:space="preserve">           Прогнозная оценка привлекаемых на реализацию цели муниципальной программы средств из внебюджетных источников составляет  - 30 452,7 тыс. руб., в том числе:</w:t>
      </w:r>
    </w:p>
    <w:p w:rsidR="00657C8B" w:rsidRPr="00DF79D2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6 905,5 тыс. руб.;</w:t>
      </w:r>
    </w:p>
    <w:p w:rsidR="00657C8B" w:rsidRPr="00DF79D2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2019 год – 5 886,8 тыс. руб.;</w:t>
      </w:r>
    </w:p>
    <w:p w:rsidR="00657C8B" w:rsidRPr="00DF79D2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2020 год – 5 886,8 тыс. руб.;</w:t>
      </w:r>
    </w:p>
    <w:p w:rsidR="00657C8B" w:rsidRPr="00DF79D2" w:rsidRDefault="00657C8B" w:rsidP="00657C8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2021 год – 5 886,8 тыс. руб.;</w:t>
      </w:r>
    </w:p>
    <w:p w:rsidR="00657C8B" w:rsidRDefault="00657C8B" w:rsidP="00657C8B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2022 год – 5 886,8 тыс. руб.</w:t>
      </w:r>
    </w:p>
    <w:p w:rsidR="00D90E2C" w:rsidRPr="0035544A" w:rsidRDefault="00D90E2C" w:rsidP="00657C8B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1.1. применяется для индикаторов, у которых положительным результатом считается превышение фактического значения индикатора над плановым </w:t>
      </w:r>
      <w:r w:rsidRPr="00AD01EB">
        <w:rPr>
          <w:rFonts w:ascii="Times New Roman" w:hAnsi="Times New Roman"/>
          <w:sz w:val="26"/>
          <w:szCs w:val="26"/>
        </w:rPr>
        <w:lastRenderedPageBreak/>
        <w:t>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34" w:rsidRDefault="00373F34" w:rsidP="00752EB0">
      <w:pPr>
        <w:spacing w:after="0" w:line="240" w:lineRule="auto"/>
      </w:pPr>
      <w:r>
        <w:separator/>
      </w:r>
    </w:p>
  </w:endnote>
  <w:endnote w:type="continuationSeparator" w:id="0">
    <w:p w:rsidR="00373F34" w:rsidRDefault="00373F34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9052A3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34" w:rsidRDefault="00373F34" w:rsidP="00752EB0">
      <w:pPr>
        <w:spacing w:after="0" w:line="240" w:lineRule="auto"/>
      </w:pPr>
      <w:r>
        <w:separator/>
      </w:r>
    </w:p>
  </w:footnote>
  <w:footnote w:type="continuationSeparator" w:id="0">
    <w:p w:rsidR="00373F34" w:rsidRDefault="00373F34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2C6F"/>
    <w:rsid w:val="000E4C14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3773"/>
    <w:rsid w:val="001944A6"/>
    <w:rsid w:val="00195C27"/>
    <w:rsid w:val="00196F5B"/>
    <w:rsid w:val="00196FCB"/>
    <w:rsid w:val="001A1F0B"/>
    <w:rsid w:val="001A7577"/>
    <w:rsid w:val="001B2EF3"/>
    <w:rsid w:val="001C14B0"/>
    <w:rsid w:val="001C2513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34A82"/>
    <w:rsid w:val="00235E9A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F59C7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561C"/>
    <w:rsid w:val="007303FF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831E6"/>
    <w:rsid w:val="007901AF"/>
    <w:rsid w:val="00794698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7988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87DFF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63A5"/>
    <w:rsid w:val="009E2B6B"/>
    <w:rsid w:val="009E3872"/>
    <w:rsid w:val="009E3BC0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6D88"/>
    <w:rsid w:val="00B816B2"/>
    <w:rsid w:val="00B93FAB"/>
    <w:rsid w:val="00B954E1"/>
    <w:rsid w:val="00B96DE9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58F2"/>
    <w:rsid w:val="00CA6D10"/>
    <w:rsid w:val="00CA7364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4D8E"/>
    <w:rsid w:val="00E4521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5FBD-9227-4974-A882-91B633CA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3750</Words>
  <Characters>27575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Мошникова</cp:lastModifiedBy>
  <cp:revision>27</cp:revision>
  <cp:lastPrinted>2019-05-15T02:18:00Z</cp:lastPrinted>
  <dcterms:created xsi:type="dcterms:W3CDTF">2019-02-08T05:35:00Z</dcterms:created>
  <dcterms:modified xsi:type="dcterms:W3CDTF">2019-05-15T02:19:00Z</dcterms:modified>
</cp:coreProperties>
</file>