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</w:t>
      </w:r>
      <w:r w:rsidR="006B02FC">
        <w:rPr>
          <w:b/>
        </w:rPr>
        <w:t>Согласование проведения переустройства и (или) перепланировки жилого помещения</w:t>
      </w:r>
      <w:r w:rsidR="0057004A" w:rsidRPr="0057004A">
        <w:rPr>
          <w:b/>
        </w:rPr>
        <w:t>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F2FC6">
        <w:rPr>
          <w:szCs w:val="24"/>
        </w:rPr>
        <w:t>26</w:t>
      </w:r>
      <w:r w:rsidR="001D39FB">
        <w:rPr>
          <w:szCs w:val="24"/>
        </w:rPr>
        <w:t xml:space="preserve"> августа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предоставления муниципальной услуги «</w:t>
      </w:r>
      <w:r w:rsidR="00FA2E73" w:rsidRPr="00FA2E73">
        <w:t>Согласование проведения переустройства и (или) перепланировки жилого помещения</w:t>
      </w:r>
      <w:r w:rsidR="000F2068" w:rsidRPr="000F2068">
        <w:t>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F2068"/>
    <w:rsid w:val="001163F2"/>
    <w:rsid w:val="0017557D"/>
    <w:rsid w:val="00175A09"/>
    <w:rsid w:val="001D39FB"/>
    <w:rsid w:val="00292530"/>
    <w:rsid w:val="0031613B"/>
    <w:rsid w:val="00370497"/>
    <w:rsid w:val="0057004A"/>
    <w:rsid w:val="0066395E"/>
    <w:rsid w:val="006B02FC"/>
    <w:rsid w:val="007848E4"/>
    <w:rsid w:val="007F2FC6"/>
    <w:rsid w:val="0087517A"/>
    <w:rsid w:val="00A3543C"/>
    <w:rsid w:val="00A67906"/>
    <w:rsid w:val="00BF49D6"/>
    <w:rsid w:val="00CB1766"/>
    <w:rsid w:val="00D5737C"/>
    <w:rsid w:val="00DD0F63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2018-02-06T05:42:00Z</cp:lastPrinted>
  <dcterms:created xsi:type="dcterms:W3CDTF">2017-10-25T01:49:00Z</dcterms:created>
  <dcterms:modified xsi:type="dcterms:W3CDTF">2018-08-07T04:13:00Z</dcterms:modified>
</cp:coreProperties>
</file>