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EE44EE" w:rsidP="003F1E0D">
      <w:pPr>
        <w:jc w:val="center"/>
        <w:rPr>
          <w:sz w:val="24"/>
          <w:szCs w:val="24"/>
        </w:rPr>
      </w:pPr>
      <w:r w:rsidRPr="00EE44EE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EE44EE" w:rsidP="003F1E0D">
      <w:pPr>
        <w:rPr>
          <w:sz w:val="24"/>
          <w:szCs w:val="24"/>
        </w:rPr>
      </w:pPr>
      <w:r w:rsidRPr="00EE44EE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FE078B">
        <w:rPr>
          <w:sz w:val="24"/>
          <w:szCs w:val="24"/>
        </w:rPr>
        <w:t xml:space="preserve">18 февраля 2015 г.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</w:t>
      </w:r>
      <w:r w:rsidR="00FE078B">
        <w:rPr>
          <w:sz w:val="24"/>
          <w:szCs w:val="24"/>
        </w:rPr>
        <w:t xml:space="preserve">   </w:t>
      </w:r>
      <w:r w:rsidR="003F1E0D">
        <w:rPr>
          <w:sz w:val="24"/>
          <w:szCs w:val="24"/>
        </w:rPr>
        <w:t xml:space="preserve"> </w:t>
      </w:r>
      <w:r w:rsidR="003F1E0D">
        <w:rPr>
          <w:szCs w:val="24"/>
        </w:rPr>
        <w:t xml:space="preserve"> №</w:t>
      </w:r>
      <w:r w:rsidR="00FE078B">
        <w:rPr>
          <w:szCs w:val="24"/>
        </w:rPr>
        <w:t xml:space="preserve"> 114-па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95675F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от </w:t>
      </w:r>
      <w:r w:rsidR="00277AA0">
        <w:rPr>
          <w:b/>
        </w:rPr>
        <w:t>21</w:t>
      </w:r>
      <w:r w:rsidR="00FC3770">
        <w:rPr>
          <w:b/>
        </w:rPr>
        <w:t>.</w:t>
      </w:r>
      <w:r w:rsidR="00306C55">
        <w:rPr>
          <w:b/>
        </w:rPr>
        <w:t>0</w:t>
      </w:r>
      <w:r w:rsidR="00277AA0">
        <w:rPr>
          <w:b/>
        </w:rPr>
        <w:t>8</w:t>
      </w:r>
      <w:r w:rsidR="00FC3770">
        <w:rPr>
          <w:b/>
        </w:rPr>
        <w:t>.</w:t>
      </w:r>
      <w:r>
        <w:rPr>
          <w:b/>
        </w:rPr>
        <w:t>201</w:t>
      </w:r>
      <w:r w:rsidR="00306C55">
        <w:rPr>
          <w:b/>
        </w:rPr>
        <w:t>4</w:t>
      </w:r>
      <w:r w:rsidR="001E11D8">
        <w:rPr>
          <w:b/>
        </w:rPr>
        <w:t xml:space="preserve"> </w:t>
      </w:r>
      <w:r>
        <w:rPr>
          <w:b/>
        </w:rPr>
        <w:t xml:space="preserve">№ </w:t>
      </w:r>
      <w:r w:rsidR="00277AA0">
        <w:rPr>
          <w:b/>
        </w:rPr>
        <w:t>69</w:t>
      </w:r>
      <w:r w:rsidR="00416B83">
        <w:rPr>
          <w:b/>
        </w:rPr>
        <w:t>3</w:t>
      </w:r>
      <w:r>
        <w:rPr>
          <w:b/>
        </w:rPr>
        <w:t xml:space="preserve">-па </w:t>
      </w:r>
    </w:p>
    <w:p w:rsidR="00277AA0" w:rsidRDefault="003F1E0D" w:rsidP="00277AA0">
      <w:pPr>
        <w:jc w:val="center"/>
        <w:rPr>
          <w:b/>
        </w:rPr>
      </w:pPr>
      <w:r>
        <w:rPr>
          <w:b/>
        </w:rPr>
        <w:t>«</w:t>
      </w:r>
      <w:r w:rsidR="00277AA0">
        <w:rPr>
          <w:b/>
        </w:rPr>
        <w:t xml:space="preserve">Об утверждении Порядка взаимодействия должностных лиц </w:t>
      </w:r>
    </w:p>
    <w:p w:rsidR="00277AA0" w:rsidRDefault="00277AA0" w:rsidP="00277AA0">
      <w:pPr>
        <w:jc w:val="center"/>
        <w:rPr>
          <w:b/>
        </w:rPr>
      </w:pPr>
      <w:r>
        <w:rPr>
          <w:b/>
        </w:rPr>
        <w:t xml:space="preserve">контрактной службы по включению сведений о контрактах </w:t>
      </w:r>
    </w:p>
    <w:p w:rsidR="00624EE8" w:rsidRPr="00624EE8" w:rsidRDefault="00277AA0" w:rsidP="00277AA0">
      <w:pPr>
        <w:jc w:val="center"/>
        <w:rPr>
          <w:b/>
        </w:rPr>
      </w:pPr>
      <w:r>
        <w:rPr>
          <w:b/>
        </w:rPr>
        <w:t>в Реестр государственных и муниципальных контрактов</w:t>
      </w:r>
      <w:r w:rsidR="00624EE8">
        <w:rPr>
          <w:b/>
        </w:rPr>
        <w:t>»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416B83" w:rsidRDefault="00EE44EE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>В соответствии</w:t>
      </w:r>
      <w:r w:rsidR="00416B83">
        <w:t xml:space="preserve"> с Федеральн</w:t>
      </w:r>
      <w:r w:rsidR="00277AA0">
        <w:t>ым</w:t>
      </w:r>
      <w:r w:rsidR="00416B83">
        <w:t xml:space="preserve"> закон</w:t>
      </w:r>
      <w:r w:rsidR="00277AA0">
        <w:t>ом</w:t>
      </w:r>
      <w:r w:rsidR="00416B83">
        <w:t xml:space="preserve"> от 05.04.2013 № 44-ФЗ </w:t>
      </w:r>
      <w:r w:rsidR="00277AA0">
        <w:t xml:space="preserve">                      </w:t>
      </w:r>
      <w:r w:rsidR="00416B83">
        <w:t>«О контрактной системе в сфере закупок товаров, работ, услуг для обеспечения государственных и муниципальных нужд»,</w:t>
      </w:r>
      <w:r w:rsidR="00C4339A">
        <w:t xml:space="preserve"> </w:t>
      </w:r>
      <w:r w:rsidR="00277AA0">
        <w:t xml:space="preserve">Постановлением Правительства РФ       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</w:t>
      </w:r>
      <w:r w:rsidR="00416B83">
        <w:t xml:space="preserve">руководствуясь Уставом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округа, администрация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277AA0" w:rsidRDefault="00C15C72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proofErr w:type="gramStart"/>
      <w:r>
        <w:t xml:space="preserve">В Порядок взаимодействия должностных лиц контрактной службы по включению сведений о контрактах, заключенных администрацией </w:t>
      </w:r>
      <w:proofErr w:type="spellStart"/>
      <w:r>
        <w:t>Дальнегорского</w:t>
      </w:r>
      <w:proofErr w:type="spellEnd"/>
      <w:r>
        <w:t xml:space="preserve"> городского округа в рамках законодательства о контрактной системе в сфере закупок товаров, работ, услуг для обеспечения муниципальных нужд в Реестр государственных и муниципальных контрактов, размещаемый на официальном сайте Российской Федерации в информационно-телекоммуникационной сети «Интернет», утвержденный постановлением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21.08.2014 № 693-па, внести следующие</w:t>
      </w:r>
      <w:proofErr w:type="gramEnd"/>
      <w:r>
        <w:t xml:space="preserve"> изменения:</w:t>
      </w:r>
    </w:p>
    <w:p w:rsidR="00C15C72" w:rsidRDefault="00C15C72" w:rsidP="00C15C72">
      <w:pPr>
        <w:tabs>
          <w:tab w:val="left" w:pos="1276"/>
        </w:tabs>
        <w:spacing w:line="360" w:lineRule="auto"/>
        <w:ind w:left="705"/>
        <w:jc w:val="both"/>
      </w:pPr>
    </w:p>
    <w:p w:rsidR="002553D3" w:rsidRDefault="002553D3" w:rsidP="002553D3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5"/>
        <w:jc w:val="both"/>
      </w:pPr>
      <w:r>
        <w:lastRenderedPageBreak/>
        <w:t xml:space="preserve">пункт </w:t>
      </w:r>
      <w:r w:rsidR="00C15C72">
        <w:t>2</w:t>
      </w:r>
      <w:r>
        <w:t>.</w:t>
      </w:r>
      <w:r w:rsidR="00C15C72">
        <w:t>3</w:t>
      </w:r>
      <w:r>
        <w:t xml:space="preserve">. изложить в следующей редакции: </w:t>
      </w:r>
    </w:p>
    <w:p w:rsidR="00C15C72" w:rsidRDefault="00C15C72" w:rsidP="00C15C72">
      <w:pPr>
        <w:tabs>
          <w:tab w:val="left" w:pos="1276"/>
        </w:tabs>
        <w:spacing w:line="360" w:lineRule="auto"/>
        <w:ind w:firstLine="705"/>
        <w:jc w:val="both"/>
      </w:pPr>
      <w:r>
        <w:t>«2.3. В случае заключения контракта по результатам электронного аукциона, контракт заключается через электронную торговую площадку в электронном виде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 по результатам электронного аукциона</w:t>
      </w:r>
      <w:r w:rsidR="00B377A5">
        <w:t>.</w:t>
      </w:r>
      <w:r>
        <w:t xml:space="preserve"> </w:t>
      </w:r>
      <w:r w:rsidR="00B377A5">
        <w:t>Н</w:t>
      </w:r>
      <w:r>
        <w:t>омер контракту присваивается электронной площадкой, а датой контракта считается дата подписания</w:t>
      </w:r>
      <w:r w:rsidR="00B377A5" w:rsidRPr="00B377A5">
        <w:t xml:space="preserve"> </w:t>
      </w:r>
      <w:r w:rsidR="00B377A5">
        <w:t xml:space="preserve">его Заказчиком с помощью электронно-цифровой подписи лица, имеющего на это право. </w:t>
      </w:r>
      <w:proofErr w:type="gramStart"/>
      <w:r w:rsidR="00B377A5">
        <w:t xml:space="preserve">Сведения о лицах, подписавших контракт, вместе с копией контракта, подписанного электронно-цифровыми подписями, в течение 1 (одного) рабочего дня, следующего за днем заключения контракта (внесения изменения в контракт), передаются лицом, подписавшим контракт, должностному лицу, ответственному за ведение реестра контрактов для включения сведений о заключенном контракте (внесения изменений в контракт) в Реестр контрактов, размещаемых на официальном сайте».  </w:t>
      </w:r>
      <w:r>
        <w:t xml:space="preserve"> </w:t>
      </w:r>
      <w:proofErr w:type="gramEnd"/>
    </w:p>
    <w:p w:rsidR="00B377A5" w:rsidRDefault="00797CE9" w:rsidP="00B377A5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>подпункт 9 пункта 2.4. изложить в следующей редакции:</w:t>
      </w:r>
    </w:p>
    <w:p w:rsidR="00797CE9" w:rsidRDefault="00797CE9" w:rsidP="00797CE9">
      <w:pPr>
        <w:tabs>
          <w:tab w:val="left" w:pos="1276"/>
        </w:tabs>
        <w:spacing w:line="360" w:lineRule="auto"/>
        <w:ind w:firstLine="709"/>
        <w:jc w:val="both"/>
      </w:pPr>
      <w:r>
        <w:t>«9) копия заключенного контракта, подписанная усиленной электронной подписью заказчика».</w:t>
      </w:r>
    </w:p>
    <w:p w:rsidR="00797CE9" w:rsidRDefault="00797CE9" w:rsidP="00797CE9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>пункт 2.7. изложить в следующей редакции:</w:t>
      </w:r>
    </w:p>
    <w:p w:rsidR="00797CE9" w:rsidRDefault="00797CE9" w:rsidP="00797CE9">
      <w:pPr>
        <w:tabs>
          <w:tab w:val="left" w:pos="1276"/>
        </w:tabs>
        <w:spacing w:line="360" w:lineRule="auto"/>
        <w:ind w:firstLine="709"/>
        <w:jc w:val="both"/>
      </w:pPr>
      <w:r>
        <w:t>«2.7. Должностное лицо, ответственное за заключение и исполнение контракта в течение 1 (одного) рабочего дня, следующего за днем подписания актов приемки товаров, выполненных работ, оказанных услуг в рамках исполнения контракта (отдельного этапа контракта), предоставляет в отдел бухгалтерского учета и отчетности:</w:t>
      </w:r>
    </w:p>
    <w:p w:rsidR="00797CE9" w:rsidRDefault="00797CE9" w:rsidP="00797CE9">
      <w:pPr>
        <w:tabs>
          <w:tab w:val="left" w:pos="1276"/>
        </w:tabs>
        <w:spacing w:line="360" w:lineRule="auto"/>
        <w:ind w:firstLine="709"/>
        <w:jc w:val="both"/>
      </w:pPr>
      <w:r>
        <w:t xml:space="preserve">- </w:t>
      </w:r>
      <w:r w:rsidR="000A7B78">
        <w:t xml:space="preserve"> </w:t>
      </w:r>
      <w:r>
        <w:t>акты приемки товара, выполненных работ, оказанных услуг, подписанные сторонами;</w:t>
      </w:r>
    </w:p>
    <w:p w:rsidR="00797CE9" w:rsidRDefault="00797CE9" w:rsidP="00797CE9">
      <w:pPr>
        <w:tabs>
          <w:tab w:val="left" w:pos="1276"/>
        </w:tabs>
        <w:spacing w:line="360" w:lineRule="auto"/>
        <w:ind w:firstLine="709"/>
        <w:jc w:val="both"/>
      </w:pPr>
      <w:r>
        <w:t xml:space="preserve">- </w:t>
      </w:r>
      <w:r w:rsidR="000A7B78">
        <w:t xml:space="preserve">  </w:t>
      </w:r>
      <w:r>
        <w:t xml:space="preserve">счета с резолюцией Главы </w:t>
      </w:r>
      <w:proofErr w:type="spellStart"/>
      <w:r>
        <w:t>Дальнегорского</w:t>
      </w:r>
      <w:proofErr w:type="spellEnd"/>
      <w:r>
        <w:t xml:space="preserve"> городского округа об оплате;</w:t>
      </w:r>
    </w:p>
    <w:p w:rsidR="00797CE9" w:rsidRDefault="00797CE9" w:rsidP="00797CE9">
      <w:pPr>
        <w:tabs>
          <w:tab w:val="left" w:pos="1276"/>
        </w:tabs>
        <w:spacing w:line="360" w:lineRule="auto"/>
        <w:ind w:firstLine="709"/>
        <w:jc w:val="both"/>
      </w:pPr>
      <w:r>
        <w:t xml:space="preserve">- заключение экспертизы, оформленное в </w:t>
      </w:r>
      <w:r w:rsidR="0048237C">
        <w:t>соответствии</w:t>
      </w:r>
      <w:r>
        <w:t xml:space="preserve"> с разделом 5.3. «Порядка</w:t>
      </w:r>
      <w:r w:rsidR="000A7B78">
        <w:t xml:space="preserve"> </w:t>
      </w:r>
      <w:r>
        <w:t>проведения заказчиками экспертизы и привлечения экспертов и экспертных организаций в рамках законодательства о контрактной системе в сфере закупок»</w:t>
      </w:r>
      <w:r w:rsidR="000A7B78">
        <w:t xml:space="preserve">, утвержденного постановлением администрации </w:t>
      </w:r>
      <w:proofErr w:type="spellStart"/>
      <w:r w:rsidR="000A7B78">
        <w:t>Дальнегорского</w:t>
      </w:r>
      <w:proofErr w:type="spellEnd"/>
      <w:r w:rsidR="000A7B78">
        <w:t xml:space="preserve"> городского округа от 15.08.2014 № 689-па;</w:t>
      </w:r>
    </w:p>
    <w:p w:rsidR="000A7B78" w:rsidRDefault="000A7B78" w:rsidP="00797CE9">
      <w:pPr>
        <w:tabs>
          <w:tab w:val="left" w:pos="1276"/>
        </w:tabs>
        <w:spacing w:line="360" w:lineRule="auto"/>
        <w:ind w:firstLine="709"/>
        <w:jc w:val="both"/>
      </w:pPr>
      <w:r>
        <w:t xml:space="preserve">- </w:t>
      </w:r>
      <w:r w:rsidR="003B32CE">
        <w:t xml:space="preserve">отчет об исполнении контракта и (или) о результатах отдельного этапа исполнения контракта, составленный по форме, утвержденной постановлением </w:t>
      </w:r>
      <w:r w:rsidR="003B32CE">
        <w:lastRenderedPageBreak/>
        <w:t>правительства Российской Федерации от 28.11.2013 № 1093 (форма отчета – приложение к настоящему Порядку)</w:t>
      </w:r>
      <w:r w:rsidR="002C49AE">
        <w:t>, в соответствии с частью 9 статьи 94                            с Федеральным законом № 44-ФЗ</w:t>
      </w:r>
      <w:r w:rsidR="003B32CE">
        <w:t>.</w:t>
      </w:r>
    </w:p>
    <w:p w:rsidR="0048237C" w:rsidRDefault="0048237C" w:rsidP="00797CE9">
      <w:pPr>
        <w:tabs>
          <w:tab w:val="left" w:pos="1276"/>
        </w:tabs>
        <w:spacing w:line="360" w:lineRule="auto"/>
        <w:ind w:firstLine="709"/>
        <w:jc w:val="both"/>
      </w:pPr>
      <w:r>
        <w:t>В те же сроки должностное лицо, ответственное за заключение и исполнение контракта, предоставляет должностному лицу, ответственному за ведение Реестра контрактов:</w:t>
      </w:r>
    </w:p>
    <w:p w:rsidR="0048237C" w:rsidRDefault="0048237C" w:rsidP="00797CE9">
      <w:pPr>
        <w:tabs>
          <w:tab w:val="left" w:pos="1276"/>
        </w:tabs>
        <w:spacing w:line="360" w:lineRule="auto"/>
        <w:ind w:firstLine="709"/>
        <w:jc w:val="both"/>
      </w:pPr>
      <w:r>
        <w:t>-отсканированные копии актов приемки товара, выполненных работ, оказанных услуг, подписанные сторонами;</w:t>
      </w:r>
    </w:p>
    <w:p w:rsidR="0048237C" w:rsidRDefault="0048237C" w:rsidP="0048237C">
      <w:pPr>
        <w:tabs>
          <w:tab w:val="left" w:pos="1276"/>
        </w:tabs>
        <w:spacing w:line="360" w:lineRule="auto"/>
        <w:ind w:firstLine="709"/>
        <w:jc w:val="both"/>
      </w:pPr>
      <w:r>
        <w:t>-отсканированное заключение экспертизы (в случае привлечения заказчиком для проведения экспертизы отдельного этапа исполнения контракта, поставленного товара, выполненной работы, оказанной услуги экспертов, экспертных организаций)»</w:t>
      </w:r>
      <w:r w:rsidR="002C49AE">
        <w:t>;</w:t>
      </w:r>
    </w:p>
    <w:p w:rsidR="002C49AE" w:rsidRDefault="002C49AE" w:rsidP="0048237C">
      <w:pPr>
        <w:tabs>
          <w:tab w:val="left" w:pos="1276"/>
        </w:tabs>
        <w:spacing w:line="360" w:lineRule="auto"/>
        <w:ind w:firstLine="709"/>
        <w:jc w:val="both"/>
      </w:pPr>
      <w:r>
        <w:t>-отчет об исполнении контракта и (или) о результатах отдельного этапа исполнения контракта, составленный по форме, утвержденной постановлением правительства Российской Федерации от 28.11.2013 № 1093 (форма отчета – приложение к настоящему Порядку), в соответствии с частью 9 статьи 94                            с Федеральным законом № 44-ФЗ.</w:t>
      </w:r>
    </w:p>
    <w:p w:rsidR="00D8315B" w:rsidRDefault="00D8315B" w:rsidP="0048237C">
      <w:pPr>
        <w:tabs>
          <w:tab w:val="left" w:pos="1276"/>
        </w:tabs>
        <w:spacing w:line="360" w:lineRule="auto"/>
        <w:ind w:firstLine="709"/>
        <w:jc w:val="both"/>
      </w:pPr>
      <w:r>
        <w:t xml:space="preserve">1.3. </w:t>
      </w:r>
      <w:r w:rsidR="00F95333">
        <w:t>пункт 2.8 изложить в следующей редакции:</w:t>
      </w:r>
    </w:p>
    <w:p w:rsidR="002C49AE" w:rsidRDefault="00F95333" w:rsidP="0048237C">
      <w:pPr>
        <w:tabs>
          <w:tab w:val="left" w:pos="1276"/>
        </w:tabs>
        <w:spacing w:line="360" w:lineRule="auto"/>
        <w:ind w:firstLine="709"/>
        <w:jc w:val="both"/>
      </w:pPr>
      <w:r>
        <w:t xml:space="preserve">«2.8. </w:t>
      </w:r>
      <w:proofErr w:type="gramStart"/>
      <w:r w:rsidR="003C3E2A">
        <w:t>Должностное лицо контрактной службы, ответственное за осуществление оплаты денежных средств по контракту (этапу контракта), работу по банковским гарантиям и возврату денежных средств, внесенных поставщиком (подрядчиком, исполнителем) в качестве обеспечения контракта (далее в рамках данного Порядка – должностное лицо отдела бухгалтерского учета и отчетности) после получения от должностного лица, ответственного за заключение и исполнение контракта акта о приемке товара, акта приемки выполненных</w:t>
      </w:r>
      <w:proofErr w:type="gramEnd"/>
      <w:r w:rsidR="003C3E2A">
        <w:t xml:space="preserve"> работ, оказанных услуг в соответствии с разделом 3.5. </w:t>
      </w:r>
      <w:proofErr w:type="gramStart"/>
      <w:r w:rsidR="003C3E2A">
        <w:t xml:space="preserve">«Положения о контрактной службе администрации </w:t>
      </w:r>
      <w:proofErr w:type="spellStart"/>
      <w:r w:rsidR="003C3E2A">
        <w:t>Дальнегорского</w:t>
      </w:r>
      <w:proofErr w:type="spellEnd"/>
      <w:r w:rsidR="003C3E2A">
        <w:t xml:space="preserve"> городского округа»,</w:t>
      </w:r>
      <w:r w:rsidR="00C536B9" w:rsidRPr="00C536B9">
        <w:t xml:space="preserve"> </w:t>
      </w:r>
      <w:r w:rsidR="003C3E2A">
        <w:t xml:space="preserve">утвержденного постановлением администрации </w:t>
      </w:r>
      <w:proofErr w:type="spellStart"/>
      <w:r w:rsidR="003C3E2A">
        <w:t>Дальнегорского</w:t>
      </w:r>
      <w:proofErr w:type="spellEnd"/>
      <w:r w:rsidR="003C3E2A">
        <w:t xml:space="preserve"> городского округа от 30.01.2014 № 53-па, в течение 2 (двух) рабочих дней, следующих за датой оплаты денежных средств по контракту (отдельному этапу контракта) предоставляет должностному лицу, </w:t>
      </w:r>
      <w:r w:rsidR="00817094">
        <w:t>ответственному</w:t>
      </w:r>
      <w:r w:rsidR="003C3E2A">
        <w:t xml:space="preserve"> за ведение Реестра</w:t>
      </w:r>
      <w:r w:rsidR="00817094">
        <w:t xml:space="preserve"> контрактов отсканированные платежные поручения, подтверждающие оплату по контракту (отдельному этапу контракта)».</w:t>
      </w:r>
      <w:r w:rsidR="003C3E2A">
        <w:t xml:space="preserve"> </w:t>
      </w:r>
      <w:proofErr w:type="gramEnd"/>
    </w:p>
    <w:p w:rsidR="002C49AE" w:rsidRDefault="002C49AE" w:rsidP="0048237C">
      <w:pPr>
        <w:tabs>
          <w:tab w:val="left" w:pos="1276"/>
        </w:tabs>
        <w:spacing w:line="360" w:lineRule="auto"/>
        <w:ind w:firstLine="709"/>
        <w:jc w:val="both"/>
      </w:pPr>
    </w:p>
    <w:p w:rsidR="002C49AE" w:rsidRDefault="003C3E2A" w:rsidP="002C49AE">
      <w:pPr>
        <w:tabs>
          <w:tab w:val="left" w:pos="1276"/>
        </w:tabs>
        <w:spacing w:line="360" w:lineRule="auto"/>
        <w:ind w:firstLine="709"/>
        <w:jc w:val="both"/>
      </w:pPr>
      <w:r>
        <w:t xml:space="preserve"> </w:t>
      </w:r>
    </w:p>
    <w:p w:rsidR="00817094" w:rsidRDefault="00817094" w:rsidP="002C49AE">
      <w:pPr>
        <w:tabs>
          <w:tab w:val="left" w:pos="1276"/>
        </w:tabs>
        <w:spacing w:line="360" w:lineRule="auto"/>
        <w:ind w:firstLine="709"/>
        <w:jc w:val="both"/>
      </w:pPr>
      <w:r>
        <w:lastRenderedPageBreak/>
        <w:t xml:space="preserve">пункт 2.10. изложить в следующей редакции: </w:t>
      </w:r>
    </w:p>
    <w:p w:rsidR="00817094" w:rsidRDefault="00817094" w:rsidP="00817094">
      <w:pPr>
        <w:tabs>
          <w:tab w:val="left" w:pos="1276"/>
        </w:tabs>
        <w:spacing w:line="360" w:lineRule="auto"/>
        <w:ind w:firstLine="709"/>
        <w:jc w:val="both"/>
      </w:pPr>
      <w:r>
        <w:t xml:space="preserve">«2.10. Должностное лицо, ответственное за ведение Реестра контрактов в течение 1 (одного) рабочего дня, после предоставления ему информации в соответствии с пунктами 2.7., 2.8., 2.9. настоящего Порядка, размещает сведения об исполнении контракта (отдельного этапа контракта), расторжении контракта в Реестр контрактов на официальном сайте». </w:t>
      </w:r>
    </w:p>
    <w:p w:rsidR="004B3527" w:rsidRDefault="004B3527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  </w:t>
      </w:r>
    </w:p>
    <w:p w:rsidR="008125BC" w:rsidRDefault="008125BC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306C55">
        <w:t>первого</w:t>
      </w:r>
      <w:r w:rsidR="0026201B">
        <w:t xml:space="preserve"> заместителя </w:t>
      </w:r>
      <w:r w:rsidR="00306C55">
        <w:t xml:space="preserve">главы администрации </w:t>
      </w:r>
      <w:proofErr w:type="spellStart"/>
      <w:r w:rsidR="00306C55">
        <w:t>Дальнегорского</w:t>
      </w:r>
      <w:proofErr w:type="spellEnd"/>
      <w:r w:rsidR="00306C55">
        <w:t xml:space="preserve"> городского округа</w:t>
      </w:r>
      <w:r w:rsidR="00AC69E7">
        <w:t xml:space="preserve">                          В.Н. </w:t>
      </w:r>
      <w:proofErr w:type="spellStart"/>
      <w:r w:rsidR="00AC69E7">
        <w:t>Колоскова</w:t>
      </w:r>
      <w:proofErr w:type="spellEnd"/>
      <w:r w:rsidR="00005848">
        <w:t>.</w:t>
      </w:r>
      <w:r w:rsidR="0055375F">
        <w:t xml:space="preserve"> 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817094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</w:t>
      </w:r>
      <w:r w:rsidR="00431398">
        <w:t xml:space="preserve">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sectPr w:rsidR="00454706" w:rsidSect="00483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B0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022"/>
    <w:multiLevelType w:val="multilevel"/>
    <w:tmpl w:val="65D87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05848"/>
    <w:rsid w:val="000133F1"/>
    <w:rsid w:val="00013A07"/>
    <w:rsid w:val="00023235"/>
    <w:rsid w:val="00031FE1"/>
    <w:rsid w:val="00034461"/>
    <w:rsid w:val="0003667E"/>
    <w:rsid w:val="0003689C"/>
    <w:rsid w:val="000415CF"/>
    <w:rsid w:val="00062CF9"/>
    <w:rsid w:val="000668D2"/>
    <w:rsid w:val="00093B22"/>
    <w:rsid w:val="00093DBA"/>
    <w:rsid w:val="00094514"/>
    <w:rsid w:val="000A53AF"/>
    <w:rsid w:val="000A57CC"/>
    <w:rsid w:val="000A7B78"/>
    <w:rsid w:val="000E7BC5"/>
    <w:rsid w:val="000F6BB1"/>
    <w:rsid w:val="00127794"/>
    <w:rsid w:val="00152971"/>
    <w:rsid w:val="00154031"/>
    <w:rsid w:val="001653E5"/>
    <w:rsid w:val="00167010"/>
    <w:rsid w:val="0018771A"/>
    <w:rsid w:val="00190835"/>
    <w:rsid w:val="001908D7"/>
    <w:rsid w:val="001D76E6"/>
    <w:rsid w:val="001E11D8"/>
    <w:rsid w:val="001E2DC9"/>
    <w:rsid w:val="001E6AFA"/>
    <w:rsid w:val="001F1DF3"/>
    <w:rsid w:val="00235779"/>
    <w:rsid w:val="0024648F"/>
    <w:rsid w:val="00246DCF"/>
    <w:rsid w:val="002553D3"/>
    <w:rsid w:val="0026201B"/>
    <w:rsid w:val="00277AA0"/>
    <w:rsid w:val="002B1343"/>
    <w:rsid w:val="002B3B32"/>
    <w:rsid w:val="002C49AE"/>
    <w:rsid w:val="002F446E"/>
    <w:rsid w:val="00306C55"/>
    <w:rsid w:val="0032322A"/>
    <w:rsid w:val="003320DE"/>
    <w:rsid w:val="00332B2C"/>
    <w:rsid w:val="0034015A"/>
    <w:rsid w:val="00354854"/>
    <w:rsid w:val="00360144"/>
    <w:rsid w:val="003950BB"/>
    <w:rsid w:val="003B32CE"/>
    <w:rsid w:val="003C3DA6"/>
    <w:rsid w:val="003C3E2A"/>
    <w:rsid w:val="003D0BA4"/>
    <w:rsid w:val="003D3D31"/>
    <w:rsid w:val="003E67F4"/>
    <w:rsid w:val="003F0E8E"/>
    <w:rsid w:val="003F1E0D"/>
    <w:rsid w:val="003F5A95"/>
    <w:rsid w:val="00416B83"/>
    <w:rsid w:val="00431398"/>
    <w:rsid w:val="00454706"/>
    <w:rsid w:val="00456390"/>
    <w:rsid w:val="0048237C"/>
    <w:rsid w:val="004832E8"/>
    <w:rsid w:val="004B3527"/>
    <w:rsid w:val="004C3848"/>
    <w:rsid w:val="004C3E06"/>
    <w:rsid w:val="004D73B0"/>
    <w:rsid w:val="005100F5"/>
    <w:rsid w:val="0053411D"/>
    <w:rsid w:val="005369DE"/>
    <w:rsid w:val="00541C4B"/>
    <w:rsid w:val="0055375F"/>
    <w:rsid w:val="0055691F"/>
    <w:rsid w:val="00575A52"/>
    <w:rsid w:val="00597A17"/>
    <w:rsid w:val="005B2F0A"/>
    <w:rsid w:val="005C1FC3"/>
    <w:rsid w:val="005D6F2B"/>
    <w:rsid w:val="005F22D7"/>
    <w:rsid w:val="005F298E"/>
    <w:rsid w:val="00612470"/>
    <w:rsid w:val="00624EE8"/>
    <w:rsid w:val="00647BB1"/>
    <w:rsid w:val="00673C13"/>
    <w:rsid w:val="0067579C"/>
    <w:rsid w:val="00692044"/>
    <w:rsid w:val="006968D6"/>
    <w:rsid w:val="006B0E62"/>
    <w:rsid w:val="006C7D99"/>
    <w:rsid w:val="006D745A"/>
    <w:rsid w:val="00746BA7"/>
    <w:rsid w:val="007726D0"/>
    <w:rsid w:val="00794286"/>
    <w:rsid w:val="00797CE9"/>
    <w:rsid w:val="007C1D6C"/>
    <w:rsid w:val="007C73ED"/>
    <w:rsid w:val="007E1CE3"/>
    <w:rsid w:val="007F2DEC"/>
    <w:rsid w:val="007F669A"/>
    <w:rsid w:val="00802217"/>
    <w:rsid w:val="008125BC"/>
    <w:rsid w:val="00817094"/>
    <w:rsid w:val="00852FF7"/>
    <w:rsid w:val="008600F3"/>
    <w:rsid w:val="0086012B"/>
    <w:rsid w:val="0086781C"/>
    <w:rsid w:val="0088322A"/>
    <w:rsid w:val="008C2030"/>
    <w:rsid w:val="008C3C1D"/>
    <w:rsid w:val="008C44BE"/>
    <w:rsid w:val="008D434E"/>
    <w:rsid w:val="008F137C"/>
    <w:rsid w:val="008F25B8"/>
    <w:rsid w:val="00934CC2"/>
    <w:rsid w:val="0094511E"/>
    <w:rsid w:val="00945BDF"/>
    <w:rsid w:val="00952B9B"/>
    <w:rsid w:val="0095675F"/>
    <w:rsid w:val="0099630D"/>
    <w:rsid w:val="009C1844"/>
    <w:rsid w:val="009C3E04"/>
    <w:rsid w:val="009D312C"/>
    <w:rsid w:val="009F02C2"/>
    <w:rsid w:val="00A0030D"/>
    <w:rsid w:val="00A00F82"/>
    <w:rsid w:val="00AC69E7"/>
    <w:rsid w:val="00B14CE5"/>
    <w:rsid w:val="00B16254"/>
    <w:rsid w:val="00B377A5"/>
    <w:rsid w:val="00B46FB2"/>
    <w:rsid w:val="00B512EF"/>
    <w:rsid w:val="00BD094E"/>
    <w:rsid w:val="00BE46CC"/>
    <w:rsid w:val="00BE65D9"/>
    <w:rsid w:val="00C07426"/>
    <w:rsid w:val="00C145DF"/>
    <w:rsid w:val="00C15C72"/>
    <w:rsid w:val="00C16434"/>
    <w:rsid w:val="00C23FDA"/>
    <w:rsid w:val="00C4339A"/>
    <w:rsid w:val="00C536B9"/>
    <w:rsid w:val="00C54DD3"/>
    <w:rsid w:val="00C5502F"/>
    <w:rsid w:val="00C707C2"/>
    <w:rsid w:val="00C85948"/>
    <w:rsid w:val="00CC5665"/>
    <w:rsid w:val="00CD6499"/>
    <w:rsid w:val="00CE3C84"/>
    <w:rsid w:val="00CE49FB"/>
    <w:rsid w:val="00D43A4E"/>
    <w:rsid w:val="00D8315B"/>
    <w:rsid w:val="00DD6F43"/>
    <w:rsid w:val="00DD74BA"/>
    <w:rsid w:val="00E040F1"/>
    <w:rsid w:val="00E05E43"/>
    <w:rsid w:val="00E34169"/>
    <w:rsid w:val="00E405EA"/>
    <w:rsid w:val="00E64478"/>
    <w:rsid w:val="00E81CAB"/>
    <w:rsid w:val="00EB35A5"/>
    <w:rsid w:val="00ED6F59"/>
    <w:rsid w:val="00EE1E09"/>
    <w:rsid w:val="00EE44EE"/>
    <w:rsid w:val="00F0787B"/>
    <w:rsid w:val="00F33391"/>
    <w:rsid w:val="00F82714"/>
    <w:rsid w:val="00F95333"/>
    <w:rsid w:val="00FC00AC"/>
    <w:rsid w:val="00FC3770"/>
    <w:rsid w:val="00FE078B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7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2015-02-17T01:56:00Z</cp:lastPrinted>
  <dcterms:created xsi:type="dcterms:W3CDTF">2015-02-06T04:07:00Z</dcterms:created>
  <dcterms:modified xsi:type="dcterms:W3CDTF">2015-02-19T04:31:00Z</dcterms:modified>
</cp:coreProperties>
</file>