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5A237F" w:rsidP="004126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F402F8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8E2E56" w:rsidRP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5A660E" w:rsidRPr="000D1475">
        <w:rPr>
          <w:rFonts w:ascii="Times New Roman" w:hAnsi="Times New Roman" w:cs="Times New Roman"/>
          <w:sz w:val="28"/>
          <w:szCs w:val="28"/>
        </w:rPr>
        <w:t xml:space="preserve"> </w:t>
      </w:r>
      <w:r w:rsidRPr="000D1475">
        <w:rPr>
          <w:rFonts w:ascii="Times New Roman" w:hAnsi="Times New Roman" w:cs="Times New Roman"/>
          <w:sz w:val="28"/>
          <w:szCs w:val="28"/>
        </w:rPr>
        <w:t>учреждени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46B9" w:rsidRDefault="004C30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  <w:r w:rsidR="004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A84E10" w:rsidRPr="004C30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84E10" w:rsidRPr="004C307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A84E10" w:rsidRP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и реквизиты соответствующего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федерального закона),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Федеральным законом</w:t>
      </w:r>
      <w:r w:rsidR="00EB542A" w:rsidRPr="004126C8">
        <w:rPr>
          <w:rStyle w:val="aa"/>
          <w:rFonts w:ascii="Times New Roman" w:hAnsi="Times New Roman" w:cs="Times New Roman"/>
          <w:i/>
          <w:sz w:val="28"/>
          <w:szCs w:val="28"/>
        </w:rPr>
        <w:footnoteReference w:id="2"/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(указать наименование и реквизиты соответс</w:t>
      </w:r>
      <w:r w:rsidR="00EA000D" w:rsidRPr="004126C8">
        <w:rPr>
          <w:rFonts w:ascii="Times New Roman" w:hAnsi="Times New Roman" w:cs="Times New Roman"/>
          <w:i/>
          <w:sz w:val="28"/>
          <w:szCs w:val="28"/>
        </w:rPr>
        <w:t>тв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>ующего федерального закона)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(указать вид учреждения (бюджетное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казенное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автономное))</w:t>
      </w:r>
      <w:r w:rsidR="004C3070" w:rsidRPr="004126C8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27284" w:rsidRPr="004126C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EB542A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B635BA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</w:t>
      </w:r>
      <w:r w:rsidRPr="00042885">
        <w:rPr>
          <w:rFonts w:ascii="Times New Roman" w:hAnsi="Times New Roman" w:cs="Times New Roman"/>
          <w:sz w:val="28"/>
          <w:szCs w:val="28"/>
        </w:rPr>
        <w:lastRenderedPageBreak/>
        <w:t>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2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и урегулированию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при выявлении каждого </w:t>
      </w:r>
      <w:r w:rsidR="00D95289">
        <w:rPr>
          <w:rFonts w:ascii="Times New Roman" w:hAnsi="Times New Roman" w:cs="Times New Roman"/>
          <w:sz w:val="28"/>
          <w:szCs w:val="28"/>
        </w:rPr>
        <w:t xml:space="preserve">случая </w:t>
      </w:r>
      <w:r w:rsidRPr="009746B9">
        <w:rPr>
          <w:rFonts w:ascii="Times New Roman" w:hAnsi="Times New Roman" w:cs="Times New Roman"/>
          <w:sz w:val="28"/>
          <w:szCs w:val="28"/>
        </w:rPr>
        <w:t>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D95289" w:rsidRPr="009746B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9528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5289" w:rsidRPr="009746B9">
        <w:rPr>
          <w:rFonts w:ascii="Times New Roman" w:hAnsi="Times New Roman" w:cs="Times New Roman"/>
          <w:sz w:val="28"/>
          <w:szCs w:val="28"/>
        </w:rPr>
        <w:t>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A2405B" w:rsidRPr="00A2405B" w:rsidRDefault="00A2405B" w:rsidP="00A240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>[указать иные принципы].</w:t>
      </w:r>
    </w:p>
    <w:p w:rsidR="00A2405B" w:rsidRDefault="00A2405B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0AB"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структурно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я,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D97" w:rsidRPr="005B155F">
        <w:rPr>
          <w:rFonts w:ascii="Times New Roman" w:hAnsi="Times New Roman" w:cs="Times New Roman"/>
          <w:i/>
          <w:sz w:val="28"/>
          <w:szCs w:val="28"/>
        </w:rPr>
        <w:t>или должност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ь лица,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ответственно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2F8" w:rsidRPr="005B155F">
        <w:rPr>
          <w:rFonts w:ascii="Times New Roman" w:hAnsi="Times New Roman" w:cs="Times New Roman"/>
          <w:i/>
          <w:sz w:val="28"/>
          <w:szCs w:val="28"/>
        </w:rPr>
        <w:t xml:space="preserve">в учреждении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за противодействие коррупции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)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D952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типовых ситуаций конфликта интересов,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D9528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5289" w:rsidRPr="009746B9">
        <w:rPr>
          <w:rFonts w:ascii="Times New Roman" w:hAnsi="Times New Roman" w:cs="Times New Roman"/>
          <w:sz w:val="28"/>
          <w:szCs w:val="28"/>
        </w:rPr>
        <w:t>или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</w:t>
      </w:r>
      <w:bookmarkStart w:id="0" w:name="_GoBack"/>
      <w:r w:rsidRPr="004D2DA7">
        <w:rPr>
          <w:rFonts w:ascii="Times New Roman" w:hAnsi="Times New Roman" w:cs="Times New Roman"/>
          <w:bCs/>
          <w:sz w:val="28"/>
          <w:szCs w:val="28"/>
        </w:rPr>
        <w:t>гос</w:t>
      </w:r>
      <w:bookmarkEnd w:id="0"/>
      <w:r w:rsidRPr="004D2DA7">
        <w:rPr>
          <w:rFonts w:ascii="Times New Roman" w:hAnsi="Times New Roman" w:cs="Times New Roman"/>
          <w:bCs/>
          <w:sz w:val="28"/>
          <w:szCs w:val="28"/>
        </w:rPr>
        <w:t>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04288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соответствующую норму Федерального закона</w:t>
      </w:r>
      <w:r w:rsidRPr="00042885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footnoteReference w:customMarkFollows="1" w:id="5"/>
        <w:sym w:font="Symbol" w:char="F034"/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),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FC11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</w:t>
      </w:r>
      <w:r w:rsidR="00D95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 </w:t>
      </w:r>
      <w:r w:rsidR="007A1C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6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B01E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D95289" w:rsidRPr="00FC1159">
        <w:rPr>
          <w:rFonts w:ascii="Times New Roman" w:hAnsi="Times New Roman" w:cs="Times New Roman"/>
          <w:sz w:val="28"/>
          <w:szCs w:val="28"/>
        </w:rPr>
        <w:t>обязанностей, которая</w:t>
      </w:r>
      <w:r w:rsidRPr="00FC115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D9528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FC1159" w:rsidRPr="00FC1159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трудовым </w:t>
      </w:r>
      <w:r w:rsidR="00D95289" w:rsidRPr="00FC1159">
        <w:rPr>
          <w:rFonts w:ascii="Times New Roman" w:hAnsi="Times New Roman" w:cs="Times New Roman"/>
          <w:sz w:val="28"/>
          <w:szCs w:val="28"/>
        </w:rPr>
        <w:t>договором, на исполнение которых</w:t>
      </w:r>
      <w:r w:rsidRPr="00FC1159">
        <w:rPr>
          <w:rFonts w:ascii="Times New Roman" w:hAnsi="Times New Roman" w:cs="Times New Roman"/>
          <w:sz w:val="28"/>
          <w:szCs w:val="28"/>
        </w:rPr>
        <w:t>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 w:rsidR="00D95289" w:rsidRPr="00FC1159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Pr="00FC1159"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B01E72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1" w:name="_MON_1529324297"/>
    <w:bookmarkEnd w:id="1"/>
    <w:p w:rsidR="00FC1159" w:rsidRPr="00FC1159" w:rsidRDefault="0050735E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3" o:title=""/>
          </v:shape>
          <o:OLEObject Type="Embed" ProgID="Word.Document.12" ShapeID="_x0000_i1025" DrawAspect="Content" ObjectID="_1649570238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наименование учреждения)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бюджетного, </w:t>
      </w:r>
      <w:r w:rsidR="00D95289"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казенного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 xml:space="preserve">с этими организациями или гражданами в трудовых </w:t>
      </w:r>
      <w:r w:rsidR="00D95289" w:rsidRPr="00B93121">
        <w:rPr>
          <w:rFonts w:ascii="Times New Roman" w:hAnsi="Times New Roman" w:cs="Times New Roman"/>
          <w:sz w:val="28"/>
          <w:szCs w:val="28"/>
        </w:rPr>
        <w:t>отношениях</w:t>
      </w:r>
      <w:r w:rsidR="00D95289">
        <w:rPr>
          <w:rFonts w:ascii="Times New Roman" w:hAnsi="Times New Roman" w:cs="Times New Roman"/>
          <w:sz w:val="28"/>
          <w:szCs w:val="28"/>
        </w:rPr>
        <w:t xml:space="preserve">, </w:t>
      </w:r>
      <w:r w:rsidR="00D95289" w:rsidRPr="00B93121">
        <w:rPr>
          <w:rFonts w:ascii="Times New Roman" w:hAnsi="Times New Roman" w:cs="Times New Roman"/>
          <w:sz w:val="28"/>
          <w:szCs w:val="28"/>
        </w:rPr>
        <w:t>являются</w:t>
      </w:r>
      <w:r w:rsidRPr="00B93121">
        <w:rPr>
          <w:rFonts w:ascii="Times New Roman" w:hAnsi="Times New Roman" w:cs="Times New Roman"/>
          <w:sz w:val="28"/>
          <w:szCs w:val="28"/>
        </w:rPr>
        <w:t xml:space="preserve">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5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пример</w:t>
      </w:r>
      <w:r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37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 xml:space="preserve"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r w:rsidR="00F71B65" w:rsidRPr="00124C04">
        <w:rPr>
          <w:rFonts w:ascii="Times New Roman" w:hAnsi="Times New Roman" w:cs="Times New Roman"/>
          <w:sz w:val="28"/>
          <w:szCs w:val="28"/>
        </w:rPr>
        <w:t>не полнородные</w:t>
      </w:r>
      <w:r w:rsidRPr="00124C04">
        <w:rPr>
          <w:rFonts w:ascii="Times New Roman" w:hAnsi="Times New Roman" w:cs="Times New Roman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 xml:space="preserve"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</w:t>
      </w:r>
      <w:r w:rsidRPr="00286923">
        <w:rPr>
          <w:rFonts w:ascii="Times New Roman" w:hAnsi="Times New Roman" w:cs="Times New Roman"/>
          <w:sz w:val="28"/>
          <w:szCs w:val="28"/>
        </w:rPr>
        <w:lastRenderedPageBreak/>
        <w:t>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dst100194"/>
      <w:bookmarkEnd w:id="5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7A1C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7A1CB9">
        <w:rPr>
          <w:rFonts w:ascii="Times New Roman" w:hAnsi="Times New Roman" w:cs="Times New Roman"/>
          <w:sz w:val="28"/>
          <w:szCs w:val="28"/>
        </w:rPr>
        <w:t>работодателем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 w:rsidRPr="0065372A">
        <w:rPr>
          <w:rFonts w:ascii="Times New Roman" w:hAnsi="Times New Roman" w:cs="Times New Roman"/>
          <w:sz w:val="28"/>
          <w:szCs w:val="28"/>
        </w:rPr>
        <w:t>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C8667A">
        <w:rPr>
          <w:rFonts w:ascii="Times New Roman" w:hAnsi="Times New Roman" w:cs="Times New Roman"/>
          <w:sz w:val="28"/>
          <w:szCs w:val="28"/>
        </w:rPr>
        <w:t xml:space="preserve">. </w:t>
      </w:r>
      <w:r w:rsidRPr="00C8667A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</w:t>
      </w:r>
      <w:r w:rsidR="00F71B65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</w:t>
      </w:r>
      <w:r w:rsidR="007A1CB9">
        <w:rPr>
          <w:rFonts w:ascii="Times New Roman" w:hAnsi="Times New Roman" w:cs="Times New Roman"/>
          <w:sz w:val="28"/>
          <w:szCs w:val="28"/>
        </w:rPr>
        <w:t>имуществом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 учреждениями,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1E" w:rsidRDefault="0054221E" w:rsidP="00265353">
      <w:r>
        <w:separator/>
      </w:r>
    </w:p>
  </w:endnote>
  <w:endnote w:type="continuationSeparator" w:id="0">
    <w:p w:rsidR="0054221E" w:rsidRDefault="0054221E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1E" w:rsidRDefault="0054221E" w:rsidP="00265353">
      <w:r>
        <w:separator/>
      </w:r>
    </w:p>
  </w:footnote>
  <w:footnote w:type="continuationSeparator" w:id="0">
    <w:p w:rsidR="0054221E" w:rsidRDefault="0054221E" w:rsidP="00265353">
      <w:r>
        <w:continuationSeparator/>
      </w:r>
    </w:p>
  </w:footnote>
  <w:footnote w:id="1">
    <w:p w:rsidR="00A84E10" w:rsidRPr="004126C8" w:rsidRDefault="00A84E10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Для бюджетных и казенных учреждений правовой основой для разработки настоящего Положения является статья 27 Федерального закона от 12.01.1996 № 7-ФЗ «О некоммерческих организациях», для автономных учреждений – статьи 16 и 17 Федерального закона от 03.11.2006 № 174-ФЗ «Об автономных учреждениях».</w:t>
      </w:r>
    </w:p>
  </w:footnote>
  <w:footnote w:id="2">
    <w:p w:rsidR="00EB542A" w:rsidRPr="004126C8" w:rsidRDefault="00EB542A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Образовательным организациям рекомендуется </w:t>
      </w:r>
      <w:r w:rsidR="00657E75" w:rsidRPr="004126C8">
        <w:rPr>
          <w:rFonts w:ascii="Times New Roman" w:hAnsi="Times New Roman" w:cs="Times New Roman"/>
        </w:rPr>
        <w:t>также</w:t>
      </w:r>
      <w:r w:rsidR="00555F79" w:rsidRP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указать Федеральный закон от 29.12.2012 </w:t>
      </w:r>
      <w:r w:rsidR="00AE6FC4">
        <w:rPr>
          <w:rFonts w:ascii="Times New Roman" w:hAnsi="Times New Roman" w:cs="Times New Roman"/>
        </w:rPr>
        <w:t>№</w:t>
      </w:r>
      <w:r w:rsidRPr="004126C8">
        <w:rPr>
          <w:rFonts w:ascii="Times New Roman" w:hAnsi="Times New Roman" w:cs="Times New Roman"/>
        </w:rPr>
        <w:t xml:space="preserve"> 273-ФЗ «Об образовании в Российской Федерации», медицинским организациям – Федеральный закон от 21.11.2011 № 323-ФЗ «Об основах охраны здоровья граждан в Российской Федерации».</w:t>
      </w:r>
    </w:p>
  </w:footnote>
  <w:footnote w:id="3">
    <w:p w:rsidR="00627284" w:rsidRPr="004126C8" w:rsidRDefault="00627284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Далее по тексту Примерного положения также используется термин «учреждение».</w:t>
      </w:r>
    </w:p>
  </w:footnote>
  <w:footnote w:id="4">
    <w:p w:rsidR="00EB542A" w:rsidRPr="00EB542A" w:rsidRDefault="00EB542A" w:rsidP="00EB542A">
      <w:pPr>
        <w:pStyle w:val="ConsPlusNormal"/>
        <w:rPr>
          <w:rFonts w:ascii="Times New Roman" w:hAnsi="Times New Roman" w:cs="Times New Roman"/>
          <w:sz w:val="20"/>
        </w:rPr>
      </w:pPr>
      <w:r w:rsidRPr="00EB542A">
        <w:rPr>
          <w:rStyle w:val="aa"/>
          <w:rFonts w:ascii="Times New Roman" w:hAnsi="Times New Roman" w:cs="Times New Roman"/>
          <w:sz w:val="20"/>
        </w:rPr>
        <w:footnoteRef/>
      </w:r>
      <w:r w:rsidRPr="00EB542A">
        <w:rPr>
          <w:rFonts w:ascii="Times New Roman" w:hAnsi="Times New Roman" w:cs="Times New Roman"/>
          <w:sz w:val="20"/>
        </w:rPr>
        <w:t xml:space="preserve"> </w:t>
      </w:r>
      <w:r w:rsidR="00042885">
        <w:rPr>
          <w:rFonts w:ascii="Times New Roman" w:hAnsi="Times New Roman" w:cs="Times New Roman"/>
          <w:sz w:val="20"/>
        </w:rPr>
        <w:t xml:space="preserve">Понятие </w:t>
      </w:r>
      <w:r w:rsidR="00042885" w:rsidRPr="00042885">
        <w:rPr>
          <w:rFonts w:ascii="Times New Roman" w:hAnsi="Times New Roman" w:cs="Times New Roman"/>
          <w:sz w:val="20"/>
        </w:rPr>
        <w:t>рекомендуется раскрыть в соответствии с</w:t>
      </w:r>
      <w:r w:rsidR="00042885">
        <w:rPr>
          <w:rFonts w:ascii="Times New Roman" w:hAnsi="Times New Roman" w:cs="Times New Roman"/>
          <w:sz w:val="20"/>
        </w:rPr>
        <w:t xml:space="preserve"> нормами статьи 27 Федерального</w:t>
      </w:r>
      <w:r w:rsidR="0047458E" w:rsidRPr="0047458E">
        <w:rPr>
          <w:rFonts w:ascii="Times New Roman" w:hAnsi="Times New Roman" w:cs="Times New Roman"/>
          <w:sz w:val="20"/>
        </w:rPr>
        <w:t xml:space="preserve"> закон</w:t>
      </w:r>
      <w:r w:rsidR="00042885">
        <w:rPr>
          <w:rFonts w:ascii="Times New Roman" w:hAnsi="Times New Roman" w:cs="Times New Roman"/>
          <w:sz w:val="20"/>
        </w:rPr>
        <w:t>а</w:t>
      </w:r>
      <w:r w:rsidR="0047458E" w:rsidRPr="0047458E">
        <w:rPr>
          <w:rFonts w:ascii="Times New Roman" w:hAnsi="Times New Roman" w:cs="Times New Roman"/>
          <w:sz w:val="20"/>
        </w:rPr>
        <w:t xml:space="preserve"> от 12</w:t>
      </w:r>
      <w:r w:rsidR="0047458E">
        <w:rPr>
          <w:rFonts w:ascii="Times New Roman" w:hAnsi="Times New Roman" w:cs="Times New Roman"/>
          <w:sz w:val="20"/>
        </w:rPr>
        <w:t>.01.</w:t>
      </w:r>
      <w:r w:rsidR="0047458E" w:rsidRPr="0047458E">
        <w:rPr>
          <w:rFonts w:ascii="Times New Roman" w:hAnsi="Times New Roman" w:cs="Times New Roman"/>
          <w:sz w:val="20"/>
        </w:rPr>
        <w:t>1996</w:t>
      </w:r>
      <w:r w:rsidR="0047458E">
        <w:rPr>
          <w:rFonts w:ascii="Times New Roman" w:hAnsi="Times New Roman" w:cs="Times New Roman"/>
          <w:sz w:val="20"/>
        </w:rPr>
        <w:t xml:space="preserve"> №</w:t>
      </w:r>
      <w:r w:rsidR="0047458E" w:rsidRPr="0047458E">
        <w:rPr>
          <w:rFonts w:ascii="Times New Roman" w:hAnsi="Times New Roman" w:cs="Times New Roman"/>
          <w:sz w:val="20"/>
        </w:rPr>
        <w:t xml:space="preserve"> 7-ФЗ </w:t>
      </w:r>
      <w:r w:rsidR="0047458E">
        <w:rPr>
          <w:rFonts w:ascii="Times New Roman" w:hAnsi="Times New Roman" w:cs="Times New Roman"/>
          <w:sz w:val="20"/>
        </w:rPr>
        <w:t>«</w:t>
      </w:r>
      <w:r w:rsidR="0047458E" w:rsidRPr="0047458E">
        <w:rPr>
          <w:rFonts w:ascii="Times New Roman" w:hAnsi="Times New Roman" w:cs="Times New Roman"/>
          <w:sz w:val="20"/>
        </w:rPr>
        <w:t>О некоммерческих организациях</w:t>
      </w:r>
      <w:r w:rsidR="0047458E">
        <w:rPr>
          <w:rFonts w:ascii="Times New Roman" w:hAnsi="Times New Roman" w:cs="Times New Roman"/>
          <w:sz w:val="20"/>
        </w:rPr>
        <w:t>»</w:t>
      </w:r>
      <w:r w:rsidR="0047458E" w:rsidRPr="0047458E">
        <w:rPr>
          <w:rFonts w:ascii="Times New Roman" w:hAnsi="Times New Roman" w:cs="Times New Roman"/>
          <w:sz w:val="20"/>
        </w:rPr>
        <w:t xml:space="preserve">. </w:t>
      </w:r>
      <w:r w:rsidRPr="00EB542A">
        <w:rPr>
          <w:rFonts w:ascii="Times New Roman" w:hAnsi="Times New Roman" w:cs="Times New Roman"/>
          <w:sz w:val="20"/>
        </w:rPr>
        <w:t xml:space="preserve">Образовательным организациям рекомендуется исходить также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 w:rsidRPr="00EB542A">
        <w:rPr>
          <w:rFonts w:ascii="Times New Roman" w:hAnsi="Times New Roman" w:cs="Times New Roman"/>
          <w:sz w:val="20"/>
        </w:rPr>
        <w:t>Федерально</w:t>
      </w:r>
      <w:r>
        <w:rPr>
          <w:rFonts w:ascii="Times New Roman" w:hAnsi="Times New Roman" w:cs="Times New Roman"/>
          <w:sz w:val="20"/>
        </w:rPr>
        <w:t>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29.12.2012 </w:t>
      </w:r>
      <w:r w:rsidR="004126C8"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273-ФЗ «Об образовании в Российской Федерации», </w:t>
      </w:r>
      <w:r>
        <w:rPr>
          <w:rFonts w:ascii="Times New Roman" w:hAnsi="Times New Roman" w:cs="Times New Roman"/>
          <w:sz w:val="20"/>
        </w:rPr>
        <w:t xml:space="preserve">медицинским организациям –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>
        <w:rPr>
          <w:rFonts w:ascii="Times New Roman" w:hAnsi="Times New Roman" w:cs="Times New Roman"/>
          <w:sz w:val="20"/>
        </w:rPr>
        <w:t>стать</w:t>
      </w:r>
      <w:r w:rsidR="009B3F52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75 </w:t>
      </w:r>
      <w:r w:rsidRPr="00EB542A">
        <w:rPr>
          <w:rFonts w:ascii="Times New Roman" w:hAnsi="Times New Roman" w:cs="Times New Roman"/>
          <w:sz w:val="20"/>
        </w:rPr>
        <w:t>Федеральн</w:t>
      </w:r>
      <w:r>
        <w:rPr>
          <w:rFonts w:ascii="Times New Roman" w:hAnsi="Times New Roman" w:cs="Times New Roman"/>
          <w:sz w:val="20"/>
        </w:rPr>
        <w:t>ого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21.11.2011 </w:t>
      </w:r>
      <w:r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323-ФЗ</w:t>
      </w:r>
      <w:r>
        <w:rPr>
          <w:rFonts w:ascii="Times New Roman" w:hAnsi="Times New Roman" w:cs="Times New Roman"/>
          <w:sz w:val="20"/>
        </w:rPr>
        <w:t xml:space="preserve"> «</w:t>
      </w:r>
      <w:r w:rsidRPr="00EB542A">
        <w:rPr>
          <w:rFonts w:ascii="Times New Roman" w:hAnsi="Times New Roman" w:cs="Times New Roman"/>
          <w:sz w:val="20"/>
        </w:rPr>
        <w:t>Об основах охраны здоровья</w:t>
      </w:r>
      <w:r>
        <w:rPr>
          <w:rFonts w:ascii="Times New Roman" w:hAnsi="Times New Roman" w:cs="Times New Roman"/>
          <w:sz w:val="20"/>
        </w:rPr>
        <w:t xml:space="preserve"> граждан в Российской Федерации».</w:t>
      </w:r>
    </w:p>
  </w:footnote>
  <w:footnote w:id="5">
    <w:p w:rsidR="00383FB9" w:rsidRPr="00042885" w:rsidRDefault="00383FB9" w:rsidP="00383FB9">
      <w:pPr>
        <w:pStyle w:val="a8"/>
        <w:rPr>
          <w:rFonts w:ascii="Times New Roman" w:hAnsi="Times New Roman" w:cs="Times New Roman"/>
        </w:rPr>
      </w:pPr>
      <w:r w:rsidRPr="00042885">
        <w:rPr>
          <w:rStyle w:val="aa"/>
          <w:rFonts w:ascii="Times New Roman" w:hAnsi="Times New Roman" w:cs="Times New Roman"/>
        </w:rPr>
        <w:sym w:font="Symbol" w:char="F034"/>
      </w:r>
      <w:r w:rsidR="001A02F4">
        <w:rPr>
          <w:rFonts w:ascii="Times New Roman" w:hAnsi="Times New Roman" w:cs="Times New Roman"/>
        </w:rPr>
        <w:t xml:space="preserve"> </w:t>
      </w:r>
      <w:r w:rsidRPr="00042885">
        <w:rPr>
          <w:rFonts w:ascii="Times New Roman" w:hAnsi="Times New Roman" w:cs="Times New Roman"/>
        </w:rPr>
        <w:t>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</w:footnote>
  <w:footnote w:id="6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7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8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</w:footnote>
  <w:footnote w:id="9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657E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B9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9"/>
    <w:rsid w:val="000128F7"/>
    <w:rsid w:val="00036A3F"/>
    <w:rsid w:val="00042885"/>
    <w:rsid w:val="00072317"/>
    <w:rsid w:val="0007767F"/>
    <w:rsid w:val="000837C7"/>
    <w:rsid w:val="00086632"/>
    <w:rsid w:val="000B1BB4"/>
    <w:rsid w:val="000D1475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4859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0735E"/>
    <w:rsid w:val="0054221E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A5B90"/>
    <w:rsid w:val="006E0845"/>
    <w:rsid w:val="006E541E"/>
    <w:rsid w:val="006F3400"/>
    <w:rsid w:val="00743769"/>
    <w:rsid w:val="007536BC"/>
    <w:rsid w:val="00794D4F"/>
    <w:rsid w:val="0079777A"/>
    <w:rsid w:val="007A1CB9"/>
    <w:rsid w:val="007D1C95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21B9F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635BA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D01282"/>
    <w:rsid w:val="00D24B9F"/>
    <w:rsid w:val="00D40E8A"/>
    <w:rsid w:val="00D57A60"/>
    <w:rsid w:val="00D65E07"/>
    <w:rsid w:val="00D83D0F"/>
    <w:rsid w:val="00D87410"/>
    <w:rsid w:val="00D944DC"/>
    <w:rsid w:val="00D95289"/>
    <w:rsid w:val="00DB2A97"/>
    <w:rsid w:val="00DC22CF"/>
    <w:rsid w:val="00DC32E3"/>
    <w:rsid w:val="00DE1D6A"/>
    <w:rsid w:val="00DE4AD7"/>
    <w:rsid w:val="00DF762F"/>
    <w:rsid w:val="00E06014"/>
    <w:rsid w:val="00E2112B"/>
    <w:rsid w:val="00E76EFB"/>
    <w:rsid w:val="00EA000D"/>
    <w:rsid w:val="00EB542A"/>
    <w:rsid w:val="00EC25F5"/>
    <w:rsid w:val="00EE0898"/>
    <w:rsid w:val="00F126DA"/>
    <w:rsid w:val="00F15BA0"/>
    <w:rsid w:val="00F402F8"/>
    <w:rsid w:val="00F46BC2"/>
    <w:rsid w:val="00F4708C"/>
    <w:rsid w:val="00F50ECF"/>
    <w:rsid w:val="00F71B65"/>
    <w:rsid w:val="00FC1159"/>
    <w:rsid w:val="00FC7DAF"/>
    <w:rsid w:val="00FE11D2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AB79-EA0C-4481-818A-4A7276AB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2678/cfb2ca39d79414688f68cbf87e498bb39ab3c4be/" TargetMode="Externa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87C41-ACF8-47D8-8CD7-27F5605C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Молчанова Екатерина Геннадьевна</cp:lastModifiedBy>
  <cp:revision>15</cp:revision>
  <cp:lastPrinted>2016-07-05T10:43:00Z</cp:lastPrinted>
  <dcterms:created xsi:type="dcterms:W3CDTF">2016-07-05T10:53:00Z</dcterms:created>
  <dcterms:modified xsi:type="dcterms:W3CDTF">2020-04-27T23:11:00Z</dcterms:modified>
</cp:coreProperties>
</file>