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BF" w:rsidRPr="00995362" w:rsidRDefault="003F4BBF" w:rsidP="003F4BBF">
      <w:pPr>
        <w:tabs>
          <w:tab w:val="left" w:pos="3591"/>
        </w:tabs>
        <w:jc w:val="center"/>
        <w:rPr>
          <w:b/>
          <w:sz w:val="26"/>
          <w:szCs w:val="26"/>
        </w:rPr>
      </w:pPr>
      <w:r w:rsidRPr="00995362">
        <w:rPr>
          <w:b/>
          <w:color w:val="26282F"/>
          <w:sz w:val="26"/>
          <w:szCs w:val="26"/>
        </w:rPr>
        <w:t>Пояснительная записка</w:t>
      </w:r>
    </w:p>
    <w:p w:rsidR="003F4BBF" w:rsidRPr="00995362" w:rsidRDefault="003F4BBF" w:rsidP="003F4BB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5362">
        <w:rPr>
          <w:rFonts w:eastAsiaTheme="majorEastAsia"/>
          <w:b/>
          <w:color w:val="26282F"/>
          <w:sz w:val="26"/>
          <w:szCs w:val="26"/>
        </w:rPr>
        <w:t>к проекту постановления о внесении изменений в муниципальную программу</w:t>
      </w:r>
    </w:p>
    <w:p w:rsidR="00797884" w:rsidRPr="00797884" w:rsidRDefault="00797884" w:rsidP="003F4BB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797884">
        <w:rPr>
          <w:sz w:val="26"/>
          <w:szCs w:val="26"/>
          <w:u w:val="single"/>
        </w:rPr>
        <w:t xml:space="preserve">«Формирование современной городской среды Дальнегорского городского округа» </w:t>
      </w:r>
    </w:p>
    <w:p w:rsidR="003F4BBF" w:rsidRPr="00951DB4" w:rsidRDefault="003F4BBF" w:rsidP="003F4B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51DB4">
        <w:rPr>
          <w:sz w:val="20"/>
          <w:szCs w:val="20"/>
        </w:rPr>
        <w:t>(наименование)</w:t>
      </w:r>
    </w:p>
    <w:p w:rsidR="003F4BBF" w:rsidRPr="000D72F4" w:rsidRDefault="003F4BBF" w:rsidP="003F4BBF"/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3"/>
        <w:gridCol w:w="1702"/>
        <w:gridCol w:w="1701"/>
        <w:gridCol w:w="1559"/>
        <w:gridCol w:w="6520"/>
      </w:tblGrid>
      <w:tr w:rsidR="003F4BBF" w:rsidRPr="000D72F4" w:rsidTr="00D32AC6">
        <w:trPr>
          <w:trHeight w:val="412"/>
        </w:trPr>
        <w:tc>
          <w:tcPr>
            <w:tcW w:w="15309" w:type="dxa"/>
            <w:gridSpan w:val="6"/>
            <w:vAlign w:val="center"/>
          </w:tcPr>
          <w:p w:rsidR="003F4BBF" w:rsidRPr="00BF1367" w:rsidRDefault="00797884" w:rsidP="00797884">
            <w:pPr>
              <w:jc w:val="center"/>
              <w:rPr>
                <w:b/>
                <w:color w:val="000000"/>
              </w:rPr>
            </w:pPr>
            <w:r w:rsidRPr="00BF1367">
              <w:rPr>
                <w:b/>
                <w:color w:val="000000"/>
              </w:rPr>
              <w:t>Период 2024</w:t>
            </w:r>
          </w:p>
        </w:tc>
      </w:tr>
      <w:tr w:rsidR="003F4BBF" w:rsidRPr="000D72F4" w:rsidTr="00D32AC6">
        <w:trPr>
          <w:trHeight w:val="594"/>
        </w:trPr>
        <w:tc>
          <w:tcPr>
            <w:tcW w:w="2694" w:type="dxa"/>
            <w:vAlign w:val="center"/>
          </w:tcPr>
          <w:p w:rsidR="003F4BBF" w:rsidRPr="000D72F4" w:rsidRDefault="003F4BBF" w:rsidP="00D32AC6">
            <w:pPr>
              <w:jc w:val="center"/>
              <w:rPr>
                <w:color w:val="000000"/>
              </w:rPr>
            </w:pPr>
            <w:r w:rsidRPr="000D72F4">
              <w:t>Наименование Программы, структурного элемента, цели, задачи, показателя</w:t>
            </w:r>
          </w:p>
        </w:tc>
        <w:tc>
          <w:tcPr>
            <w:tcW w:w="2835" w:type="dxa"/>
            <w:gridSpan w:val="2"/>
          </w:tcPr>
          <w:p w:rsidR="003F4BBF" w:rsidRPr="000D72F4" w:rsidRDefault="003F4BBF" w:rsidP="00D32AC6">
            <w:pPr>
              <w:jc w:val="center"/>
              <w:rPr>
                <w:color w:val="000000"/>
              </w:rPr>
            </w:pPr>
            <w:r w:rsidRPr="000D72F4">
              <w:rPr>
                <w:bCs/>
                <w:color w:val="000000"/>
              </w:rPr>
              <w:t>Действующая редакция</w:t>
            </w:r>
          </w:p>
        </w:tc>
        <w:tc>
          <w:tcPr>
            <w:tcW w:w="3260" w:type="dxa"/>
            <w:gridSpan w:val="2"/>
          </w:tcPr>
          <w:p w:rsidR="003F4BBF" w:rsidRPr="000D72F4" w:rsidRDefault="003F4BBF" w:rsidP="00D32AC6">
            <w:pPr>
              <w:jc w:val="center"/>
              <w:rPr>
                <w:color w:val="000000"/>
              </w:rPr>
            </w:pPr>
            <w:r w:rsidRPr="000D72F4">
              <w:rPr>
                <w:bCs/>
                <w:color w:val="000000"/>
              </w:rPr>
              <w:t>Планируемая редакция</w:t>
            </w:r>
          </w:p>
        </w:tc>
        <w:tc>
          <w:tcPr>
            <w:tcW w:w="6520" w:type="dxa"/>
          </w:tcPr>
          <w:p w:rsidR="003F4BBF" w:rsidRPr="000D72F4" w:rsidRDefault="003F4BBF" w:rsidP="00D32AC6">
            <w:pPr>
              <w:jc w:val="center"/>
              <w:rPr>
                <w:color w:val="000000"/>
              </w:rPr>
            </w:pPr>
            <w:r w:rsidRPr="000D72F4">
              <w:t>Причины</w:t>
            </w:r>
          </w:p>
        </w:tc>
      </w:tr>
      <w:tr w:rsidR="003F4BBF" w:rsidRPr="000D72F4" w:rsidTr="00D32AC6">
        <w:trPr>
          <w:trHeight w:val="236"/>
        </w:trPr>
        <w:tc>
          <w:tcPr>
            <w:tcW w:w="15309" w:type="dxa"/>
            <w:gridSpan w:val="6"/>
            <w:vAlign w:val="center"/>
          </w:tcPr>
          <w:p w:rsidR="003F4BBF" w:rsidRPr="000D72F4" w:rsidRDefault="003F4BBF" w:rsidP="00D32AC6">
            <w:pPr>
              <w:jc w:val="center"/>
              <w:rPr>
                <w:color w:val="000000"/>
              </w:rPr>
            </w:pPr>
            <w:r w:rsidRPr="000D72F4">
              <w:rPr>
                <w:color w:val="000000"/>
              </w:rPr>
              <w:t>Изменение цели Программы</w:t>
            </w:r>
          </w:p>
        </w:tc>
      </w:tr>
      <w:tr w:rsidR="003F4BBF" w:rsidRPr="000D72F4" w:rsidTr="00D32AC6">
        <w:trPr>
          <w:trHeight w:val="236"/>
        </w:trPr>
        <w:tc>
          <w:tcPr>
            <w:tcW w:w="2694" w:type="dxa"/>
            <w:vAlign w:val="center"/>
          </w:tcPr>
          <w:p w:rsidR="003F4BBF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5" w:type="dxa"/>
            <w:gridSpan w:val="2"/>
          </w:tcPr>
          <w:p w:rsidR="003F4BBF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60" w:type="dxa"/>
            <w:gridSpan w:val="2"/>
          </w:tcPr>
          <w:p w:rsidR="003F4BBF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0" w:type="dxa"/>
          </w:tcPr>
          <w:p w:rsidR="003F4BBF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3F4BBF" w:rsidRPr="000D72F4" w:rsidTr="00D32AC6">
        <w:trPr>
          <w:trHeight w:val="236"/>
        </w:trPr>
        <w:tc>
          <w:tcPr>
            <w:tcW w:w="15309" w:type="dxa"/>
            <w:gridSpan w:val="6"/>
            <w:vAlign w:val="center"/>
          </w:tcPr>
          <w:p w:rsidR="003F4BBF" w:rsidRPr="000D72F4" w:rsidRDefault="003F4BBF" w:rsidP="00D32AC6">
            <w:pPr>
              <w:jc w:val="center"/>
              <w:rPr>
                <w:color w:val="000000"/>
              </w:rPr>
            </w:pPr>
            <w:r w:rsidRPr="000D72F4">
              <w:rPr>
                <w:color w:val="000000"/>
              </w:rPr>
              <w:t>Изменение задач структурного элемента</w:t>
            </w:r>
          </w:p>
        </w:tc>
      </w:tr>
      <w:tr w:rsidR="00797884" w:rsidRPr="000D72F4" w:rsidTr="00D32AC6">
        <w:trPr>
          <w:trHeight w:val="236"/>
        </w:trPr>
        <w:tc>
          <w:tcPr>
            <w:tcW w:w="2694" w:type="dxa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5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60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0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97884" w:rsidRPr="000D72F4" w:rsidTr="00D32AC6">
        <w:trPr>
          <w:trHeight w:val="236"/>
        </w:trPr>
        <w:tc>
          <w:tcPr>
            <w:tcW w:w="2694" w:type="dxa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5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60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0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97884" w:rsidRPr="000D72F4" w:rsidTr="00D32AC6">
        <w:trPr>
          <w:trHeight w:val="236"/>
        </w:trPr>
        <w:tc>
          <w:tcPr>
            <w:tcW w:w="15309" w:type="dxa"/>
            <w:gridSpan w:val="6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t xml:space="preserve">Изменение индикативных показателей Программы (структурного </w:t>
            </w:r>
            <w:proofErr w:type="gramStart"/>
            <w:r w:rsidRPr="000D72F4">
              <w:t>элемента)*</w:t>
            </w:r>
            <w:proofErr w:type="gramEnd"/>
          </w:p>
        </w:tc>
      </w:tr>
      <w:tr w:rsidR="00797884" w:rsidRPr="000D72F4" w:rsidTr="00D32AC6">
        <w:trPr>
          <w:trHeight w:val="236"/>
        </w:trPr>
        <w:tc>
          <w:tcPr>
            <w:tcW w:w="2694" w:type="dxa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5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60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0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97884" w:rsidRPr="000D72F4" w:rsidTr="00D32AC6">
        <w:trPr>
          <w:trHeight w:val="236"/>
        </w:trPr>
        <w:tc>
          <w:tcPr>
            <w:tcW w:w="2694" w:type="dxa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5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60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0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97884" w:rsidRPr="000D72F4" w:rsidTr="00D32AC6">
        <w:trPr>
          <w:trHeight w:val="236"/>
        </w:trPr>
        <w:tc>
          <w:tcPr>
            <w:tcW w:w="2694" w:type="dxa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835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260" w:type="dxa"/>
            <w:gridSpan w:val="2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0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97884" w:rsidRPr="000D72F4" w:rsidTr="00D32AC6">
        <w:trPr>
          <w:trHeight w:val="236"/>
        </w:trPr>
        <w:tc>
          <w:tcPr>
            <w:tcW w:w="15309" w:type="dxa"/>
            <w:gridSpan w:val="6"/>
            <w:vAlign w:val="center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rPr>
                <w:color w:val="000000"/>
              </w:rPr>
              <w:t xml:space="preserve">Изменение финансирования, </w:t>
            </w:r>
            <w:proofErr w:type="spellStart"/>
            <w:r w:rsidRPr="000D72F4">
              <w:rPr>
                <w:color w:val="000000"/>
              </w:rPr>
              <w:t>тыс.руб</w:t>
            </w:r>
            <w:proofErr w:type="spellEnd"/>
            <w:r w:rsidRPr="000D72F4">
              <w:rPr>
                <w:color w:val="000000"/>
              </w:rPr>
              <w:t>.</w:t>
            </w:r>
          </w:p>
        </w:tc>
      </w:tr>
      <w:tr w:rsidR="00797884" w:rsidRPr="000D72F4" w:rsidTr="00D32AC6">
        <w:trPr>
          <w:trHeight w:val="236"/>
        </w:trPr>
        <w:tc>
          <w:tcPr>
            <w:tcW w:w="2694" w:type="dxa"/>
          </w:tcPr>
          <w:p w:rsidR="00797884" w:rsidRPr="000D72F4" w:rsidRDefault="00797884" w:rsidP="00797884">
            <w:pPr>
              <w:jc w:val="center"/>
            </w:pPr>
            <w:r w:rsidRPr="000D72F4">
              <w:t>Наименование направления, структурного элемента Программы</w:t>
            </w:r>
          </w:p>
        </w:tc>
        <w:tc>
          <w:tcPr>
            <w:tcW w:w="1133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t>Источники финансирования</w:t>
            </w:r>
          </w:p>
        </w:tc>
        <w:tc>
          <w:tcPr>
            <w:tcW w:w="1702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rPr>
                <w:bCs/>
                <w:color w:val="000000"/>
              </w:rPr>
              <w:t>Действующая редакция</w:t>
            </w:r>
          </w:p>
        </w:tc>
        <w:tc>
          <w:tcPr>
            <w:tcW w:w="1701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rPr>
                <w:bCs/>
                <w:color w:val="000000"/>
              </w:rPr>
              <w:t>Планируемая редакция</w:t>
            </w:r>
          </w:p>
        </w:tc>
        <w:tc>
          <w:tcPr>
            <w:tcW w:w="1559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t>Отклонение</w:t>
            </w:r>
          </w:p>
        </w:tc>
        <w:tc>
          <w:tcPr>
            <w:tcW w:w="6520" w:type="dxa"/>
          </w:tcPr>
          <w:p w:rsidR="00797884" w:rsidRPr="000D72F4" w:rsidRDefault="00797884" w:rsidP="00797884">
            <w:pPr>
              <w:jc w:val="center"/>
              <w:rPr>
                <w:color w:val="000000"/>
              </w:rPr>
            </w:pPr>
            <w:r w:rsidRPr="000D72F4">
              <w:t>Причины</w:t>
            </w:r>
          </w:p>
        </w:tc>
      </w:tr>
      <w:tr w:rsidR="001062A3" w:rsidRPr="000D72F4" w:rsidTr="00D32AC6">
        <w:trPr>
          <w:trHeight w:val="236"/>
        </w:trPr>
        <w:tc>
          <w:tcPr>
            <w:tcW w:w="2694" w:type="dxa"/>
            <w:vMerge w:val="restart"/>
            <w:vAlign w:val="center"/>
          </w:tcPr>
          <w:p w:rsidR="001062A3" w:rsidRPr="000D72F4" w:rsidRDefault="001062A3" w:rsidP="001062A3">
            <w:pPr>
              <w:rPr>
                <w:color w:val="000000"/>
              </w:rPr>
            </w:pPr>
            <w:r w:rsidRPr="000D72F4">
              <w:rPr>
                <w:color w:val="000000"/>
              </w:rPr>
              <w:t>Всего по Программе</w:t>
            </w:r>
          </w:p>
        </w:tc>
        <w:tc>
          <w:tcPr>
            <w:tcW w:w="1133" w:type="dxa"/>
          </w:tcPr>
          <w:p w:rsidR="001062A3" w:rsidRPr="000D72F4" w:rsidRDefault="001062A3" w:rsidP="001062A3">
            <w:r w:rsidRPr="000D72F4">
              <w:rPr>
                <w:color w:val="000000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896D14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48096,81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896D14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49696,81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+1600,00</w:t>
            </w:r>
          </w:p>
        </w:tc>
        <w:tc>
          <w:tcPr>
            <w:tcW w:w="6520" w:type="dxa"/>
            <w:vMerge w:val="restart"/>
          </w:tcPr>
          <w:p w:rsidR="001062A3" w:rsidRPr="00797884" w:rsidRDefault="001062A3" w:rsidP="00914624">
            <w:pPr>
              <w:pStyle w:val="a5"/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97884">
              <w:rPr>
                <w:color w:val="000000"/>
              </w:rPr>
              <w:t xml:space="preserve">риведение в соответствие бюджетных ассигнований, предусмотренных на реализацию муниципальной программы «Формирование современной городской среды Дальнегорского городского округа» в соответствие с бюджетом </w:t>
            </w:r>
            <w:r w:rsidRPr="008C187E">
              <w:rPr>
                <w:color w:val="000000"/>
              </w:rPr>
              <w:t>Дальнегорского городского округа</w:t>
            </w:r>
            <w:r w:rsidR="00914624">
              <w:rPr>
                <w:color w:val="000000"/>
              </w:rPr>
              <w:t>. Денежные ассигнования выделены</w:t>
            </w:r>
            <w:r w:rsidRPr="008C187E">
              <w:rPr>
                <w:color w:val="000000"/>
              </w:rPr>
              <w:t xml:space="preserve"> </w:t>
            </w:r>
            <w:r w:rsidR="00914624">
              <w:rPr>
                <w:color w:val="000000"/>
              </w:rPr>
              <w:t xml:space="preserve">для заключения контракта на </w:t>
            </w:r>
            <w:r w:rsidR="00914624" w:rsidRPr="00914624">
              <w:rPr>
                <w:color w:val="000000"/>
              </w:rPr>
              <w:t>оказание услуг по подготовке документов для участия Дальнегорского городского округа Приморского края во Всероссийском конкурсе лучших проектов создания комфортной городской среды в малых городах и исторических поселения</w:t>
            </w:r>
            <w:r w:rsidR="00914624">
              <w:rPr>
                <w:color w:val="000000"/>
              </w:rPr>
              <w:t>.</w:t>
            </w:r>
          </w:p>
        </w:tc>
      </w:tr>
      <w:tr w:rsidR="001062A3" w:rsidRPr="000D72F4" w:rsidTr="00D32AC6">
        <w:trPr>
          <w:trHeight w:val="267"/>
        </w:trPr>
        <w:tc>
          <w:tcPr>
            <w:tcW w:w="2694" w:type="dxa"/>
            <w:vMerge/>
            <w:vAlign w:val="center"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1062A3" w:rsidRPr="000D72F4" w:rsidRDefault="001062A3" w:rsidP="001062A3">
            <w:r w:rsidRPr="000D72F4">
              <w:rPr>
                <w:color w:val="000000"/>
              </w:rPr>
              <w:t>ФБ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896D14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18 632,95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896D14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18632,95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1062A3" w:rsidRPr="000D72F4" w:rsidRDefault="001062A3" w:rsidP="001062A3">
            <w:pPr>
              <w:jc w:val="both"/>
              <w:rPr>
                <w:color w:val="000000"/>
              </w:rPr>
            </w:pPr>
          </w:p>
        </w:tc>
      </w:tr>
      <w:tr w:rsidR="001062A3" w:rsidRPr="000D72F4" w:rsidTr="00D32AC6">
        <w:trPr>
          <w:trHeight w:val="272"/>
        </w:trPr>
        <w:tc>
          <w:tcPr>
            <w:tcW w:w="2694" w:type="dxa"/>
            <w:vMerge/>
            <w:vAlign w:val="center"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1062A3" w:rsidRPr="000D72F4" w:rsidRDefault="001062A3" w:rsidP="001062A3">
            <w:r w:rsidRPr="000D72F4">
              <w:rPr>
                <w:color w:val="000000"/>
              </w:rPr>
              <w:t>РБ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26 055,88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26055,88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1062A3" w:rsidRPr="000D72F4" w:rsidRDefault="001062A3" w:rsidP="001062A3">
            <w:pPr>
              <w:jc w:val="both"/>
              <w:rPr>
                <w:color w:val="000000"/>
              </w:rPr>
            </w:pPr>
          </w:p>
        </w:tc>
      </w:tr>
      <w:tr w:rsidR="001062A3" w:rsidRPr="000D72F4" w:rsidTr="00D32AC6">
        <w:trPr>
          <w:trHeight w:val="272"/>
        </w:trPr>
        <w:tc>
          <w:tcPr>
            <w:tcW w:w="2694" w:type="dxa"/>
            <w:vMerge/>
            <w:vAlign w:val="center"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1062A3" w:rsidRPr="000D72F4" w:rsidRDefault="001062A3" w:rsidP="001062A3">
            <w:pPr>
              <w:rPr>
                <w:color w:val="000000"/>
              </w:rPr>
            </w:pPr>
            <w:r w:rsidRPr="000D72F4">
              <w:rPr>
                <w:color w:val="00000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5007,98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+1600,00</w:t>
            </w:r>
          </w:p>
        </w:tc>
        <w:tc>
          <w:tcPr>
            <w:tcW w:w="6520" w:type="dxa"/>
            <w:vMerge/>
          </w:tcPr>
          <w:p w:rsidR="001062A3" w:rsidRPr="000D72F4" w:rsidRDefault="001062A3" w:rsidP="001062A3">
            <w:pPr>
              <w:jc w:val="both"/>
              <w:rPr>
                <w:color w:val="000000"/>
              </w:rPr>
            </w:pPr>
          </w:p>
        </w:tc>
      </w:tr>
      <w:tr w:rsidR="001062A3" w:rsidRPr="000D72F4" w:rsidTr="00D32AC6">
        <w:trPr>
          <w:trHeight w:val="261"/>
        </w:trPr>
        <w:tc>
          <w:tcPr>
            <w:tcW w:w="2694" w:type="dxa"/>
            <w:vMerge/>
            <w:vAlign w:val="center"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1062A3" w:rsidRPr="000D72F4" w:rsidRDefault="001062A3" w:rsidP="001062A3">
            <w:r w:rsidRPr="000D72F4">
              <w:rPr>
                <w:color w:val="000000"/>
              </w:rPr>
              <w:t>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7C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1062A3" w:rsidRPr="000D72F4" w:rsidRDefault="001062A3" w:rsidP="001062A3">
            <w:pPr>
              <w:jc w:val="both"/>
              <w:rPr>
                <w:color w:val="000000"/>
              </w:rPr>
            </w:pPr>
          </w:p>
        </w:tc>
      </w:tr>
    </w:tbl>
    <w:p w:rsidR="00822272" w:rsidRDefault="00822272">
      <w:r>
        <w:br w:type="page"/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3"/>
        <w:gridCol w:w="1702"/>
        <w:gridCol w:w="1701"/>
        <w:gridCol w:w="1559"/>
        <w:gridCol w:w="6520"/>
      </w:tblGrid>
      <w:tr w:rsidR="008C187E" w:rsidRPr="000D72F4" w:rsidTr="00D32AC6">
        <w:trPr>
          <w:trHeight w:val="279"/>
        </w:trPr>
        <w:tc>
          <w:tcPr>
            <w:tcW w:w="15309" w:type="dxa"/>
            <w:gridSpan w:val="6"/>
          </w:tcPr>
          <w:p w:rsidR="008C187E" w:rsidRPr="000D72F4" w:rsidRDefault="008C187E" w:rsidP="008C187E">
            <w:pPr>
              <w:jc w:val="center"/>
              <w:rPr>
                <w:color w:val="000000"/>
              </w:rPr>
            </w:pPr>
            <w:r w:rsidRPr="008C187E">
              <w:rPr>
                <w:color w:val="000000"/>
              </w:rPr>
              <w:lastRenderedPageBreak/>
              <w:t>Направление 1 «Создание комфортной городской среды Дальнегорского городского округа»</w:t>
            </w:r>
          </w:p>
        </w:tc>
      </w:tr>
      <w:tr w:rsidR="001062A3" w:rsidRPr="000D72F4" w:rsidTr="00A233D0">
        <w:trPr>
          <w:trHeight w:val="279"/>
        </w:trPr>
        <w:tc>
          <w:tcPr>
            <w:tcW w:w="2694" w:type="dxa"/>
            <w:vMerge w:val="restart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 w:rsidRPr="008C187E">
              <w:rPr>
                <w:color w:val="000000"/>
              </w:rPr>
              <w:t>Муниципальный проект «Формирование комфортной городской среды Дальнегорского городского округа»</w:t>
            </w:r>
          </w:p>
        </w:tc>
        <w:tc>
          <w:tcPr>
            <w:tcW w:w="1133" w:type="dxa"/>
          </w:tcPr>
          <w:p w:rsidR="001062A3" w:rsidRPr="000D72F4" w:rsidRDefault="001062A3" w:rsidP="001062A3">
            <w:r w:rsidRPr="000D72F4">
              <w:rPr>
                <w:color w:val="000000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20 232,24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486622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21832,24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+ 1600,00</w:t>
            </w:r>
          </w:p>
        </w:tc>
        <w:tc>
          <w:tcPr>
            <w:tcW w:w="6520" w:type="dxa"/>
            <w:vMerge w:val="restart"/>
          </w:tcPr>
          <w:p w:rsidR="001062A3" w:rsidRPr="000D72F4" w:rsidRDefault="00914624" w:rsidP="001062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97884">
              <w:rPr>
                <w:color w:val="000000"/>
              </w:rPr>
              <w:t xml:space="preserve">риведение в соответствие бюджетных ассигнований, предусмотренных на реализацию муниципальной программы «Формирование современной городской среды Дальнегорского городского округа» в соответствие с бюджетом </w:t>
            </w:r>
            <w:r w:rsidRPr="008C187E">
              <w:rPr>
                <w:color w:val="000000"/>
              </w:rPr>
              <w:t>Дальнегорского городского округа</w:t>
            </w:r>
            <w:r>
              <w:rPr>
                <w:color w:val="000000"/>
              </w:rPr>
              <w:t>. Денежные ассигнования выделены</w:t>
            </w:r>
            <w:r w:rsidRPr="008C18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для заключения контракта на </w:t>
            </w:r>
            <w:r w:rsidRPr="00914624">
              <w:rPr>
                <w:color w:val="000000"/>
              </w:rPr>
              <w:t>оказание услуг по подготовке документов для участия Дальнегорского городского округа Приморского края во Всероссийском конкурсе</w:t>
            </w:r>
            <w:bookmarkStart w:id="0" w:name="_GoBack"/>
            <w:bookmarkEnd w:id="0"/>
            <w:r w:rsidRPr="00914624">
              <w:rPr>
                <w:color w:val="000000"/>
              </w:rPr>
              <w:t xml:space="preserve"> лучших проектов создания комфортной городской среды в малых городах и исторических поселениях</w:t>
            </w:r>
            <w:r>
              <w:rPr>
                <w:color w:val="000000"/>
              </w:rPr>
              <w:t>.</w:t>
            </w:r>
          </w:p>
        </w:tc>
      </w:tr>
      <w:tr w:rsidR="001062A3" w:rsidRPr="000D72F4" w:rsidTr="00D32AC6">
        <w:trPr>
          <w:trHeight w:val="279"/>
        </w:trPr>
        <w:tc>
          <w:tcPr>
            <w:tcW w:w="2694" w:type="dxa"/>
            <w:vMerge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1062A3" w:rsidRPr="000D72F4" w:rsidRDefault="001062A3" w:rsidP="001062A3">
            <w:pPr>
              <w:rPr>
                <w:color w:val="000000"/>
              </w:rPr>
            </w:pPr>
            <w:r w:rsidRPr="000D72F4">
              <w:rPr>
                <w:color w:val="000000"/>
              </w:rPr>
              <w:t>ФБ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D07">
              <w:t>18 632,9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486622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6622">
              <w:rPr>
                <w:sz w:val="18"/>
                <w:szCs w:val="18"/>
              </w:rPr>
              <w:t>18 632,95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</w:tr>
      <w:tr w:rsidR="001062A3" w:rsidRPr="000D72F4" w:rsidTr="00D32AC6">
        <w:trPr>
          <w:trHeight w:val="279"/>
        </w:trPr>
        <w:tc>
          <w:tcPr>
            <w:tcW w:w="2694" w:type="dxa"/>
            <w:vMerge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1062A3" w:rsidRPr="000D72F4" w:rsidRDefault="001062A3" w:rsidP="001062A3">
            <w:pPr>
              <w:rPr>
                <w:color w:val="000000"/>
              </w:rPr>
            </w:pPr>
            <w:r w:rsidRPr="000D72F4">
              <w:rPr>
                <w:color w:val="000000"/>
              </w:rPr>
              <w:t>РБ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486622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6622">
              <w:rPr>
                <w:sz w:val="18"/>
                <w:szCs w:val="18"/>
              </w:rPr>
              <w:t>380,26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</w:tr>
      <w:tr w:rsidR="001062A3" w:rsidRPr="000D72F4" w:rsidTr="00D32AC6">
        <w:trPr>
          <w:trHeight w:val="279"/>
        </w:trPr>
        <w:tc>
          <w:tcPr>
            <w:tcW w:w="2694" w:type="dxa"/>
            <w:vMerge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1062A3" w:rsidRPr="000D72F4" w:rsidRDefault="001062A3" w:rsidP="001062A3">
            <w:pPr>
              <w:rPr>
                <w:color w:val="000000"/>
              </w:rPr>
            </w:pPr>
            <w:r w:rsidRPr="000D72F4">
              <w:rPr>
                <w:color w:val="00000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7C8">
              <w:t>1</w:t>
            </w:r>
            <w:r>
              <w:t> 219,03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486622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2819,03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+1600,00</w:t>
            </w:r>
          </w:p>
        </w:tc>
        <w:tc>
          <w:tcPr>
            <w:tcW w:w="6520" w:type="dxa"/>
            <w:vMerge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</w:tr>
      <w:tr w:rsidR="001062A3" w:rsidRPr="000D72F4" w:rsidTr="00D32AC6">
        <w:trPr>
          <w:trHeight w:val="536"/>
        </w:trPr>
        <w:tc>
          <w:tcPr>
            <w:tcW w:w="2694" w:type="dxa"/>
            <w:vMerge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1062A3" w:rsidRPr="000D72F4" w:rsidRDefault="001062A3" w:rsidP="001062A3">
            <w:pPr>
              <w:rPr>
                <w:color w:val="000000"/>
              </w:rPr>
            </w:pPr>
            <w:r w:rsidRPr="000D72F4">
              <w:rPr>
                <w:color w:val="000000"/>
              </w:rPr>
              <w:t>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7C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486622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662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</w:tr>
      <w:tr w:rsidR="001062A3" w:rsidRPr="000D72F4" w:rsidTr="00D32AC6">
        <w:trPr>
          <w:trHeight w:val="279"/>
        </w:trPr>
        <w:tc>
          <w:tcPr>
            <w:tcW w:w="2694" w:type="dxa"/>
            <w:vMerge w:val="restart"/>
          </w:tcPr>
          <w:p w:rsidR="001062A3" w:rsidRPr="000D72F4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2272">
              <w:rPr>
                <w:sz w:val="22"/>
                <w:szCs w:val="22"/>
              </w:rPr>
              <w:t>Благоустройство общественных территорий Дальнегорского городского округа (результат 1)</w:t>
            </w:r>
          </w:p>
        </w:tc>
        <w:tc>
          <w:tcPr>
            <w:tcW w:w="1133" w:type="dxa"/>
          </w:tcPr>
          <w:p w:rsidR="001062A3" w:rsidRPr="000D72F4" w:rsidRDefault="001062A3" w:rsidP="001062A3">
            <w:r w:rsidRPr="000D72F4">
              <w:rPr>
                <w:color w:val="000000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20 232,24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486622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21832,24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+ 1600,00</w:t>
            </w:r>
          </w:p>
        </w:tc>
        <w:tc>
          <w:tcPr>
            <w:tcW w:w="6520" w:type="dxa"/>
            <w:vMerge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</w:tr>
      <w:tr w:rsidR="001062A3" w:rsidRPr="000D72F4" w:rsidTr="00D32AC6">
        <w:trPr>
          <w:trHeight w:val="279"/>
        </w:trPr>
        <w:tc>
          <w:tcPr>
            <w:tcW w:w="2694" w:type="dxa"/>
            <w:vMerge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1062A3" w:rsidRPr="000D72F4" w:rsidRDefault="001062A3" w:rsidP="001062A3">
            <w:pPr>
              <w:rPr>
                <w:color w:val="000000"/>
              </w:rPr>
            </w:pPr>
            <w:r w:rsidRPr="000D72F4">
              <w:rPr>
                <w:color w:val="000000"/>
              </w:rPr>
              <w:t>ФБ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D07">
              <w:t>18 632,9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486622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6622">
              <w:rPr>
                <w:sz w:val="18"/>
                <w:szCs w:val="18"/>
              </w:rPr>
              <w:t>18 632,95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</w:tr>
      <w:tr w:rsidR="001062A3" w:rsidRPr="000D72F4" w:rsidTr="00D32AC6">
        <w:trPr>
          <w:trHeight w:val="279"/>
        </w:trPr>
        <w:tc>
          <w:tcPr>
            <w:tcW w:w="2694" w:type="dxa"/>
            <w:vMerge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1062A3" w:rsidRPr="000D72F4" w:rsidRDefault="001062A3" w:rsidP="001062A3">
            <w:pPr>
              <w:rPr>
                <w:color w:val="000000"/>
              </w:rPr>
            </w:pPr>
            <w:r w:rsidRPr="000D72F4">
              <w:rPr>
                <w:color w:val="000000"/>
              </w:rPr>
              <w:t>РБ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486622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6622">
              <w:rPr>
                <w:sz w:val="18"/>
                <w:szCs w:val="18"/>
              </w:rPr>
              <w:t>380,26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</w:tr>
      <w:tr w:rsidR="001062A3" w:rsidRPr="000D72F4" w:rsidTr="00D32AC6">
        <w:trPr>
          <w:trHeight w:val="279"/>
        </w:trPr>
        <w:tc>
          <w:tcPr>
            <w:tcW w:w="2694" w:type="dxa"/>
            <w:vMerge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1062A3" w:rsidRPr="000D72F4" w:rsidRDefault="001062A3" w:rsidP="001062A3">
            <w:pPr>
              <w:rPr>
                <w:color w:val="000000"/>
              </w:rPr>
            </w:pPr>
            <w:r w:rsidRPr="000D72F4">
              <w:rPr>
                <w:color w:val="00000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7C8">
              <w:t>1</w:t>
            </w:r>
            <w:r>
              <w:t> 219,03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486622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2819,03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+1600,00</w:t>
            </w:r>
          </w:p>
        </w:tc>
        <w:tc>
          <w:tcPr>
            <w:tcW w:w="6520" w:type="dxa"/>
            <w:vMerge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</w:tr>
      <w:tr w:rsidR="001062A3" w:rsidRPr="000D72F4" w:rsidTr="00D32AC6">
        <w:trPr>
          <w:trHeight w:val="279"/>
        </w:trPr>
        <w:tc>
          <w:tcPr>
            <w:tcW w:w="2694" w:type="dxa"/>
            <w:vMerge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1062A3" w:rsidRPr="000D72F4" w:rsidRDefault="001062A3" w:rsidP="001062A3">
            <w:pPr>
              <w:rPr>
                <w:color w:val="000000"/>
              </w:rPr>
            </w:pPr>
            <w:r w:rsidRPr="000D72F4">
              <w:rPr>
                <w:color w:val="000000"/>
              </w:rPr>
              <w:t>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0977C8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7C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3" w:rsidRPr="00486622" w:rsidRDefault="001062A3" w:rsidP="00106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662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062A3" w:rsidRPr="000D72F4" w:rsidRDefault="001062A3" w:rsidP="0010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520" w:type="dxa"/>
            <w:vMerge/>
          </w:tcPr>
          <w:p w:rsidR="001062A3" w:rsidRPr="000D72F4" w:rsidRDefault="001062A3" w:rsidP="001062A3">
            <w:pPr>
              <w:rPr>
                <w:color w:val="000000"/>
              </w:rPr>
            </w:pPr>
          </w:p>
        </w:tc>
      </w:tr>
    </w:tbl>
    <w:p w:rsidR="0046323F" w:rsidRDefault="0046323F"/>
    <w:p w:rsidR="006A5733" w:rsidRDefault="001062A3" w:rsidP="006A5733">
      <w:pPr>
        <w:spacing w:after="225" w:line="259" w:lineRule="auto"/>
        <w:ind w:right="28" w:firstLine="708"/>
        <w:contextualSpacing/>
        <w:jc w:val="both"/>
        <w:rPr>
          <w:rFonts w:eastAsiaTheme="minorHAnsi"/>
          <w:color w:val="000000" w:themeColor="text1"/>
          <w:sz w:val="25"/>
          <w:szCs w:val="25"/>
        </w:rPr>
      </w:pPr>
      <w:r>
        <w:t xml:space="preserve">Финансовое обеспечение 2025, 2026, 2027, 2028 не изменилось. </w:t>
      </w:r>
      <w:r w:rsidRPr="00BD0FDF">
        <w:rPr>
          <w:rFonts w:eastAsiaTheme="minorHAnsi"/>
          <w:sz w:val="25"/>
          <w:szCs w:val="25"/>
          <w:lang w:eastAsia="en-US"/>
        </w:rPr>
        <w:t xml:space="preserve">Размеры и </w:t>
      </w:r>
      <w:proofErr w:type="gramStart"/>
      <w:r w:rsidRPr="00BD0FDF">
        <w:rPr>
          <w:rFonts w:eastAsiaTheme="minorHAnsi"/>
          <w:sz w:val="25"/>
          <w:szCs w:val="25"/>
          <w:lang w:eastAsia="en-US"/>
        </w:rPr>
        <w:t>источники  финансового</w:t>
      </w:r>
      <w:proofErr w:type="gramEnd"/>
      <w:r w:rsidRPr="00BD0FDF">
        <w:rPr>
          <w:rFonts w:eastAsiaTheme="minorHAnsi"/>
          <w:sz w:val="25"/>
          <w:szCs w:val="25"/>
          <w:lang w:eastAsia="en-US"/>
        </w:rPr>
        <w:t xml:space="preserve"> обеспечения мероприятий отображены согласно, утвержденного бюджета Дальнегорского городского округа, при этом показатели отображены согласно </w:t>
      </w:r>
      <w:r w:rsidRPr="00BD0FDF">
        <w:rPr>
          <w:color w:val="000000" w:themeColor="text1"/>
          <w:sz w:val="25"/>
          <w:szCs w:val="25"/>
        </w:rPr>
        <w:t xml:space="preserve">Стратегии социально-экономического развития Дальнегорского городского округа Приморского края, утвержденной решением Думы Дальнегорского городского округа от 19.07.2023 № 130.  Все показатели будут приведены в соответствии </w:t>
      </w:r>
      <w:r>
        <w:rPr>
          <w:color w:val="000000" w:themeColor="text1"/>
          <w:sz w:val="25"/>
          <w:szCs w:val="25"/>
        </w:rPr>
        <w:t xml:space="preserve">с </w:t>
      </w:r>
      <w:r w:rsidRPr="00BD0FDF">
        <w:rPr>
          <w:color w:val="000000" w:themeColor="text1"/>
          <w:sz w:val="25"/>
          <w:szCs w:val="25"/>
        </w:rPr>
        <w:t xml:space="preserve">финансовым </w:t>
      </w:r>
      <w:proofErr w:type="gramStart"/>
      <w:r w:rsidRPr="00BD0FDF">
        <w:rPr>
          <w:color w:val="000000" w:themeColor="text1"/>
          <w:sz w:val="25"/>
          <w:szCs w:val="25"/>
        </w:rPr>
        <w:t>обеспечением  при</w:t>
      </w:r>
      <w:proofErr w:type="gramEnd"/>
      <w:r w:rsidRPr="00BD0FDF">
        <w:rPr>
          <w:color w:val="000000" w:themeColor="text1"/>
          <w:sz w:val="25"/>
          <w:szCs w:val="25"/>
        </w:rPr>
        <w:t xml:space="preserve"> внесении изменений в Стратегию</w:t>
      </w:r>
      <w:r>
        <w:rPr>
          <w:color w:val="000000" w:themeColor="text1"/>
          <w:sz w:val="25"/>
          <w:szCs w:val="25"/>
        </w:rPr>
        <w:t xml:space="preserve"> во 2 квартале 2024 года</w:t>
      </w:r>
      <w:r w:rsidRPr="00BD0FDF">
        <w:rPr>
          <w:color w:val="000000" w:themeColor="text1"/>
          <w:sz w:val="25"/>
          <w:szCs w:val="25"/>
        </w:rPr>
        <w:t>.</w:t>
      </w:r>
    </w:p>
    <w:p w:rsidR="00AF709C" w:rsidRDefault="00AF709C" w:rsidP="006A5733">
      <w:pPr>
        <w:spacing w:after="225" w:line="259" w:lineRule="auto"/>
        <w:ind w:right="28" w:firstLine="708"/>
        <w:contextualSpacing/>
        <w:jc w:val="both"/>
        <w:rPr>
          <w:rFonts w:eastAsiaTheme="minorHAnsi"/>
          <w:color w:val="000000" w:themeColor="text1"/>
          <w:sz w:val="25"/>
          <w:szCs w:val="25"/>
        </w:rPr>
      </w:pPr>
    </w:p>
    <w:p w:rsidR="001062A3" w:rsidRPr="006A5733" w:rsidRDefault="001062A3" w:rsidP="006A5733">
      <w:pPr>
        <w:spacing w:after="225" w:line="259" w:lineRule="auto"/>
        <w:ind w:right="28" w:firstLine="708"/>
        <w:contextualSpacing/>
        <w:jc w:val="both"/>
        <w:rPr>
          <w:rFonts w:eastAsiaTheme="minorHAnsi"/>
          <w:color w:val="000000" w:themeColor="text1"/>
          <w:sz w:val="25"/>
          <w:szCs w:val="25"/>
        </w:rPr>
      </w:pPr>
    </w:p>
    <w:p w:rsidR="006A5733" w:rsidRPr="006A5733" w:rsidRDefault="006A5733" w:rsidP="006A5733">
      <w:pPr>
        <w:ind w:right="28"/>
        <w:contextualSpacing/>
        <w:jc w:val="both"/>
        <w:rPr>
          <w:rFonts w:eastAsiaTheme="minorHAnsi"/>
          <w:color w:val="000000" w:themeColor="text1"/>
          <w:sz w:val="25"/>
          <w:szCs w:val="25"/>
        </w:rPr>
      </w:pPr>
      <w:r w:rsidRPr="006A5733">
        <w:rPr>
          <w:rFonts w:eastAsiaTheme="minorHAnsi"/>
          <w:color w:val="000000" w:themeColor="text1"/>
          <w:sz w:val="25"/>
          <w:szCs w:val="25"/>
        </w:rPr>
        <w:t>Начальник отдела жизнеобеспечения</w:t>
      </w:r>
    </w:p>
    <w:p w:rsidR="006A5733" w:rsidRPr="006A5733" w:rsidRDefault="006A5733" w:rsidP="006A5733">
      <w:pPr>
        <w:ind w:right="28"/>
        <w:contextualSpacing/>
        <w:jc w:val="both"/>
        <w:rPr>
          <w:rFonts w:eastAsiaTheme="minorHAnsi"/>
          <w:color w:val="000000" w:themeColor="text1"/>
          <w:sz w:val="25"/>
          <w:szCs w:val="25"/>
        </w:rPr>
      </w:pPr>
      <w:r w:rsidRPr="006A5733">
        <w:rPr>
          <w:rFonts w:eastAsiaTheme="minorHAnsi"/>
          <w:color w:val="000000" w:themeColor="text1"/>
          <w:sz w:val="25"/>
          <w:szCs w:val="25"/>
        </w:rPr>
        <w:t>администрации Дальнегорского</w:t>
      </w:r>
    </w:p>
    <w:p w:rsidR="006A5733" w:rsidRPr="006A5733" w:rsidRDefault="006A5733" w:rsidP="006A5733">
      <w:pPr>
        <w:ind w:right="28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6A5733">
        <w:rPr>
          <w:rFonts w:eastAsiaTheme="minorHAnsi"/>
          <w:color w:val="000000" w:themeColor="text1"/>
          <w:sz w:val="25"/>
          <w:szCs w:val="25"/>
        </w:rPr>
        <w:t xml:space="preserve">городского округа                                                                           </w:t>
      </w:r>
      <w:r>
        <w:rPr>
          <w:rFonts w:eastAsiaTheme="minorHAnsi"/>
          <w:color w:val="000000" w:themeColor="text1"/>
          <w:sz w:val="25"/>
          <w:szCs w:val="25"/>
        </w:rPr>
        <w:t xml:space="preserve">                                                                                 </w:t>
      </w:r>
      <w:r w:rsidRPr="006A5733">
        <w:rPr>
          <w:rFonts w:eastAsiaTheme="minorHAnsi"/>
          <w:color w:val="000000" w:themeColor="text1"/>
          <w:sz w:val="25"/>
          <w:szCs w:val="25"/>
        </w:rPr>
        <w:t xml:space="preserve">                 Н.О. Игумнова</w:t>
      </w:r>
    </w:p>
    <w:p w:rsidR="00484480" w:rsidRDefault="00484480"/>
    <w:sectPr w:rsidR="00484480" w:rsidSect="001062A3">
      <w:headerReference w:type="default" r:id="rId8"/>
      <w:pgSz w:w="16838" w:h="11906" w:orient="landscape"/>
      <w:pgMar w:top="709" w:right="1134" w:bottom="709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07" w:rsidRDefault="00E02407">
      <w:r>
        <w:separator/>
      </w:r>
    </w:p>
  </w:endnote>
  <w:endnote w:type="continuationSeparator" w:id="0">
    <w:p w:rsidR="00E02407" w:rsidRDefault="00E0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07" w:rsidRDefault="00E02407">
      <w:r>
        <w:separator/>
      </w:r>
    </w:p>
  </w:footnote>
  <w:footnote w:type="continuationSeparator" w:id="0">
    <w:p w:rsidR="00E02407" w:rsidRDefault="00E0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13526"/>
      <w:docPartObj>
        <w:docPartGallery w:val="Page Numbers (Top of Page)"/>
        <w:docPartUnique/>
      </w:docPartObj>
    </w:sdtPr>
    <w:sdtEndPr/>
    <w:sdtContent>
      <w:p w:rsidR="009F5FB8" w:rsidRDefault="009F5F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2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CE"/>
    <w:multiLevelType w:val="hybridMultilevel"/>
    <w:tmpl w:val="33B4E9CC"/>
    <w:lvl w:ilvl="0" w:tplc="23582AF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320C5A"/>
    <w:multiLevelType w:val="hybridMultilevel"/>
    <w:tmpl w:val="2C7A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BF"/>
    <w:rsid w:val="001062A3"/>
    <w:rsid w:val="00114A5A"/>
    <w:rsid w:val="0028213F"/>
    <w:rsid w:val="002E6BCE"/>
    <w:rsid w:val="003708C9"/>
    <w:rsid w:val="003B147F"/>
    <w:rsid w:val="003D6D04"/>
    <w:rsid w:val="003F4BBF"/>
    <w:rsid w:val="004170F1"/>
    <w:rsid w:val="0046323F"/>
    <w:rsid w:val="00484480"/>
    <w:rsid w:val="004C2F02"/>
    <w:rsid w:val="00640BB4"/>
    <w:rsid w:val="006463C2"/>
    <w:rsid w:val="006A5733"/>
    <w:rsid w:val="006F1D04"/>
    <w:rsid w:val="00797884"/>
    <w:rsid w:val="008128E4"/>
    <w:rsid w:val="00822272"/>
    <w:rsid w:val="008C187E"/>
    <w:rsid w:val="008C7D1F"/>
    <w:rsid w:val="008F426E"/>
    <w:rsid w:val="00914624"/>
    <w:rsid w:val="009B1AB4"/>
    <w:rsid w:val="009F5FB8"/>
    <w:rsid w:val="00A07285"/>
    <w:rsid w:val="00A233D0"/>
    <w:rsid w:val="00A87841"/>
    <w:rsid w:val="00AE6D5B"/>
    <w:rsid w:val="00AF709C"/>
    <w:rsid w:val="00B240AF"/>
    <w:rsid w:val="00B37790"/>
    <w:rsid w:val="00BF1367"/>
    <w:rsid w:val="00BF26BC"/>
    <w:rsid w:val="00C1711D"/>
    <w:rsid w:val="00C93820"/>
    <w:rsid w:val="00D32AC6"/>
    <w:rsid w:val="00D435FE"/>
    <w:rsid w:val="00D75C54"/>
    <w:rsid w:val="00E02407"/>
    <w:rsid w:val="00E90F7C"/>
    <w:rsid w:val="00ED4195"/>
    <w:rsid w:val="00F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34D2F-3950-41B0-807B-C462959D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7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57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D083-B064-49FE-81F4-1C62A2A5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2024-04-12T00:00:00Z</cp:lastPrinted>
  <dcterms:created xsi:type="dcterms:W3CDTF">2024-04-11T23:33:00Z</dcterms:created>
  <dcterms:modified xsi:type="dcterms:W3CDTF">2024-04-12T00:00:00Z</dcterms:modified>
</cp:coreProperties>
</file>