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B14392">
        <w:rPr>
          <w:rFonts w:ascii="Times New Roman" w:hAnsi="Times New Roman" w:cs="Times New Roman"/>
          <w:sz w:val="22"/>
          <w:szCs w:val="22"/>
        </w:rPr>
        <w:t>6</w:t>
      </w:r>
    </w:p>
    <w:p w:rsidR="00B14392" w:rsidRDefault="00B14392" w:rsidP="00B14392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 xml:space="preserve">Требованиям к отдельным видам товаров, работ, услуг </w:t>
      </w:r>
    </w:p>
    <w:p w:rsidR="00B14392" w:rsidRDefault="00B14392" w:rsidP="00B14392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B14392" w:rsidRDefault="00B14392" w:rsidP="00B14392">
      <w:pPr>
        <w:spacing w:line="240" w:lineRule="auto"/>
        <w:ind w:left="9204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>
        <w:rPr>
          <w:color w:val="000000" w:themeColor="text1"/>
          <w:sz w:val="22"/>
          <w:szCs w:val="22"/>
        </w:rPr>
        <w:t>закупаемым</w:t>
      </w:r>
      <w:proofErr w:type="gramEnd"/>
      <w:r>
        <w:rPr>
          <w:color w:val="000000" w:themeColor="text1"/>
          <w:sz w:val="22"/>
          <w:szCs w:val="22"/>
        </w:rPr>
        <w:t xml:space="preserve"> для обеспечения  Управления культуры, спорта и  молодежной политики администрации </w:t>
      </w:r>
      <w:proofErr w:type="spellStart"/>
      <w:r>
        <w:rPr>
          <w:color w:val="000000" w:themeColor="text1"/>
          <w:sz w:val="22"/>
          <w:szCs w:val="22"/>
        </w:rPr>
        <w:t>Дальнегорского</w:t>
      </w:r>
      <w:proofErr w:type="spellEnd"/>
      <w:r>
        <w:rPr>
          <w:color w:val="000000" w:themeColor="text1"/>
          <w:sz w:val="22"/>
          <w:szCs w:val="22"/>
        </w:rPr>
        <w:t xml:space="preserve"> городского округа и подведомственными ему муниципальными бюджетными учреждениями 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489"/>
        <w:gridCol w:w="797"/>
        <w:gridCol w:w="1508"/>
        <w:gridCol w:w="782"/>
        <w:gridCol w:w="1068"/>
        <w:gridCol w:w="1701"/>
        <w:gridCol w:w="1842"/>
        <w:gridCol w:w="1702"/>
        <w:gridCol w:w="1701"/>
        <w:gridCol w:w="1701"/>
        <w:gridCol w:w="1842"/>
      </w:tblGrid>
      <w:tr w:rsidR="0076714F" w:rsidRPr="00F71190" w:rsidTr="00CE57B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489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CE57B8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78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CE57B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CE57B8">
        <w:trPr>
          <w:trHeight w:val="370"/>
        </w:trPr>
        <w:tc>
          <w:tcPr>
            <w:tcW w:w="15133" w:type="dxa"/>
            <w:gridSpan w:val="11"/>
          </w:tcPr>
          <w:p w:rsidR="00E07EC7" w:rsidRPr="00B1477C" w:rsidRDefault="00446F5F" w:rsidP="00FE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477C" w:rsidRPr="00B1477C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="00B1477C" w:rsidRPr="00B1477C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="00B1477C" w:rsidRPr="00B1477C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91AD6">
              <w:rPr>
                <w:b/>
                <w:sz w:val="20"/>
                <w:szCs w:val="20"/>
              </w:rPr>
              <w:t xml:space="preserve"> </w:t>
            </w:r>
            <w:r w:rsidR="006A1944">
              <w:rPr>
                <w:b/>
                <w:sz w:val="20"/>
                <w:szCs w:val="20"/>
              </w:rPr>
              <w:t xml:space="preserve">включенные в перечень отдельных видов товаров, работ, закупаемые для обеспечения </w:t>
            </w:r>
            <w:r w:rsidR="007C1CA4">
              <w:rPr>
                <w:b/>
                <w:sz w:val="20"/>
                <w:szCs w:val="20"/>
              </w:rPr>
              <w:t>М</w:t>
            </w:r>
            <w:r w:rsidR="00FE5C3D">
              <w:rPr>
                <w:b/>
                <w:sz w:val="20"/>
                <w:szCs w:val="20"/>
              </w:rPr>
              <w:t>О</w:t>
            </w:r>
            <w:r w:rsidR="007C1CA4">
              <w:rPr>
                <w:b/>
                <w:sz w:val="20"/>
                <w:szCs w:val="20"/>
              </w:rPr>
              <w:t>БУ</w:t>
            </w:r>
            <w:r w:rsidR="006A1944">
              <w:rPr>
                <w:b/>
                <w:sz w:val="20"/>
                <w:szCs w:val="20"/>
              </w:rPr>
              <w:t xml:space="preserve"> </w:t>
            </w:r>
            <w:r w:rsidR="00FE5C3D">
              <w:rPr>
                <w:b/>
                <w:sz w:val="20"/>
                <w:szCs w:val="20"/>
              </w:rPr>
              <w:t xml:space="preserve">ДОД ДЮСШ </w:t>
            </w:r>
            <w:r w:rsidR="006A1944">
              <w:rPr>
                <w:b/>
                <w:sz w:val="20"/>
                <w:szCs w:val="20"/>
              </w:rPr>
              <w:t>«</w:t>
            </w:r>
            <w:r w:rsidR="00FE5C3D">
              <w:rPr>
                <w:b/>
                <w:sz w:val="20"/>
                <w:szCs w:val="20"/>
              </w:rPr>
              <w:t>Гранит</w:t>
            </w:r>
            <w:r w:rsidR="006A1944">
              <w:rPr>
                <w:b/>
                <w:sz w:val="20"/>
                <w:szCs w:val="20"/>
              </w:rPr>
              <w:t>»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391AD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8C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Рабочие </w:t>
            </w:r>
            <w:r w:rsidRPr="00F71190">
              <w:rPr>
                <w:rFonts w:ascii="Times New Roman" w:hAnsi="Times New Roman" w:cs="Times New Roman"/>
              </w:rPr>
              <w:lastRenderedPageBreak/>
              <w:t>станции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тонкий клиент и </w:t>
            </w:r>
            <w:r w:rsidRPr="00F71190">
              <w:rPr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тонкий клиент и </w:t>
            </w:r>
            <w:r w:rsidRPr="00F71190">
              <w:rPr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тонкий клиент и </w:t>
            </w:r>
            <w:r w:rsidRPr="00F71190">
              <w:rPr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тонкий клиент и </w:t>
            </w:r>
            <w:r w:rsidRPr="00F71190">
              <w:rPr>
                <w:sz w:val="20"/>
                <w:szCs w:val="20"/>
              </w:rPr>
              <w:lastRenderedPageBreak/>
              <w:t>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 xml:space="preserve">искусственная кожа, мебельный </w:t>
            </w:r>
            <w:r w:rsidRPr="00F71190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C6" w:rsidRPr="00F71190" w:rsidTr="00CE57B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078C6" w:rsidRPr="00991698" w:rsidTr="00CE57B8">
        <w:tc>
          <w:tcPr>
            <w:tcW w:w="489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991698" w:rsidRDefault="005078C6" w:rsidP="00991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698">
              <w:rPr>
                <w:rFonts w:ascii="Times New Roman" w:hAnsi="Times New Roman" w:cs="Times New Roman"/>
              </w:rPr>
              <w:t xml:space="preserve">предельное значение искусственная </w:t>
            </w:r>
            <w:proofErr w:type="spellStart"/>
            <w:r w:rsidRPr="00991698">
              <w:rPr>
                <w:rFonts w:ascii="Times New Roman" w:hAnsi="Times New Roman" w:cs="Times New Roman"/>
              </w:rPr>
              <w:t>кожа</w:t>
            </w:r>
            <w:proofErr w:type="gramStart"/>
            <w:r w:rsidRPr="00991698">
              <w:rPr>
                <w:rFonts w:ascii="Times New Roman" w:hAnsi="Times New Roman" w:cs="Times New Roman"/>
              </w:rPr>
              <w:t>;в</w:t>
            </w:r>
            <w:proofErr w:type="gramEnd"/>
            <w:r w:rsidRPr="00991698">
              <w:rPr>
                <w:rFonts w:ascii="Times New Roman" w:hAnsi="Times New Roman" w:cs="Times New Roman"/>
              </w:rPr>
              <w:t>озможные</w:t>
            </w:r>
            <w:proofErr w:type="spellEnd"/>
            <w:r w:rsidRPr="00991698"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078C6" w:rsidRPr="00F71190" w:rsidRDefault="005078C6" w:rsidP="005078C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7337CC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8C6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</w:t>
            </w:r>
            <w:r w:rsidRPr="00F7119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Мебель </w:t>
            </w:r>
            <w:r w:rsidRPr="00F71190">
              <w:rPr>
                <w:rFonts w:ascii="Times New Roman" w:hAnsi="Times New Roman" w:cs="Times New Roman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Материал </w:t>
            </w:r>
            <w:r w:rsidRPr="00F71190">
              <w:rPr>
                <w:rFonts w:ascii="Times New Roman" w:hAnsi="Times New Roman" w:cs="Times New Roman"/>
              </w:rPr>
              <w:lastRenderedPageBreak/>
              <w:t>(металл)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FE5C3D" w:rsidRPr="00F71190" w:rsidTr="00CE57B8">
        <w:tc>
          <w:tcPr>
            <w:tcW w:w="489" w:type="dxa"/>
            <w:vMerge w:val="restart"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FE5C3D" w:rsidRDefault="00FE5C3D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FE5C3D" w:rsidRPr="00F71190" w:rsidTr="00CE57B8">
        <w:trPr>
          <w:trHeight w:val="2684"/>
        </w:trPr>
        <w:tc>
          <w:tcPr>
            <w:tcW w:w="489" w:type="dxa"/>
            <w:vMerge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FE5C3D" w:rsidRPr="00F71190" w:rsidRDefault="00FE5C3D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FE5C3D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</w:tc>
        <w:tc>
          <w:tcPr>
            <w:tcW w:w="1842" w:type="dxa"/>
          </w:tcPr>
          <w:p w:rsidR="00FE5C3D" w:rsidRDefault="00FE5C3D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FE5C3D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FE5C3D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CE57B8">
        <w:tc>
          <w:tcPr>
            <w:tcW w:w="15133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FE5C3D" w:rsidRPr="00F71190" w:rsidTr="00CE57B8">
        <w:tc>
          <w:tcPr>
            <w:tcW w:w="489" w:type="dxa"/>
            <w:vMerge w:val="restart"/>
          </w:tcPr>
          <w:p w:rsidR="00FE5C3D" w:rsidRPr="007337CC" w:rsidRDefault="00FE5C3D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FE5C3D" w:rsidRPr="00F71190" w:rsidRDefault="00FE5C3D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508" w:type="dxa"/>
            <w:vMerge w:val="restart"/>
          </w:tcPr>
          <w:p w:rsidR="00FE5C3D" w:rsidRPr="00D776FA" w:rsidRDefault="00FE5C3D" w:rsidP="002616F5">
            <w:pPr>
              <w:pStyle w:val="ConsPlusNormal"/>
              <w:rPr>
                <w:rFonts w:ascii="Times New Roman" w:hAnsi="Times New Roman" w:cs="Times New Roman"/>
              </w:rPr>
            </w:pPr>
            <w:r w:rsidRPr="00D776F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782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</w:tcPr>
          <w:p w:rsidR="00FE5C3D" w:rsidRPr="00F71190" w:rsidRDefault="00FE5C3D" w:rsidP="002616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2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Pr="00F71190" w:rsidRDefault="00FE5C3D" w:rsidP="002616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5C3D" w:rsidRDefault="00FE5C3D" w:rsidP="002616F5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E5C3D" w:rsidRDefault="00FE5C3D" w:rsidP="002616F5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E5C3D" w:rsidRDefault="00FE5C3D" w:rsidP="002616F5">
            <w:r w:rsidRPr="001C7B23">
              <w:rPr>
                <w:sz w:val="20"/>
                <w:szCs w:val="20"/>
              </w:rPr>
              <w:t>Х</w:t>
            </w:r>
          </w:p>
        </w:tc>
      </w:tr>
      <w:tr w:rsidR="00FE5C3D" w:rsidRPr="00F71190" w:rsidTr="00CE57B8">
        <w:tc>
          <w:tcPr>
            <w:tcW w:w="489" w:type="dxa"/>
            <w:vMerge/>
          </w:tcPr>
          <w:p w:rsidR="00FE5C3D" w:rsidRPr="00F71190" w:rsidRDefault="00FE5C3D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FE5C3D" w:rsidRPr="00F71190" w:rsidRDefault="00FE5C3D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FE5C3D" w:rsidRPr="00F71190" w:rsidRDefault="00FE5C3D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FE5C3D" w:rsidRPr="00F71190" w:rsidRDefault="00FE5C3D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FE5C3D" w:rsidRPr="00F71190" w:rsidRDefault="00FE5C3D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FE5C3D" w:rsidRPr="00F71190" w:rsidRDefault="00FE5C3D" w:rsidP="002616F5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  <w:r>
              <w:rPr>
                <w:rFonts w:ascii="Times New Roman" w:hAnsi="Times New Roman" w:cs="Times New Roman"/>
              </w:rPr>
              <w:t xml:space="preserve"> (за 1 Гкал)</w:t>
            </w:r>
          </w:p>
          <w:p w:rsidR="00FE5C3D" w:rsidRPr="00F71190" w:rsidRDefault="00FE5C3D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E5C3D" w:rsidRDefault="00FE5C3D" w:rsidP="00D776FA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FE5C3D" w:rsidRDefault="00FE5C3D" w:rsidP="0026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5C3D" w:rsidRPr="00F71190" w:rsidRDefault="00FE5C3D" w:rsidP="00B95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4800,00 </w:t>
            </w:r>
          </w:p>
        </w:tc>
        <w:tc>
          <w:tcPr>
            <w:tcW w:w="1701" w:type="dxa"/>
          </w:tcPr>
          <w:p w:rsidR="00FE5C3D" w:rsidRDefault="00FE5C3D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E5C3D" w:rsidRDefault="00FE5C3D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E5C3D" w:rsidRDefault="00FE5C3D">
            <w:r w:rsidRPr="003358AA">
              <w:rPr>
                <w:sz w:val="20"/>
                <w:szCs w:val="20"/>
              </w:rPr>
              <w:t>Х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2554A5" w:rsidRDefault="00801AED" w:rsidP="002554A5">
      <w:pPr>
        <w:pStyle w:val="a4"/>
        <w:numPr>
          <w:ilvl w:val="0"/>
          <w:numId w:val="2"/>
        </w:numPr>
        <w:rPr>
          <w:sz w:val="20"/>
          <w:szCs w:val="20"/>
        </w:rPr>
      </w:pPr>
      <w:r w:rsidRPr="002554A5">
        <w:rPr>
          <w:sz w:val="20"/>
          <w:szCs w:val="20"/>
        </w:rPr>
        <w:t xml:space="preserve">Количество планируемых  к  приобретению  товаров  (основных средств и материальных запасов) определяется с учетом  фактического наличия количества товаров, учитываемых на балансе  </w:t>
      </w:r>
      <w:r w:rsidR="00446F5F">
        <w:rPr>
          <w:sz w:val="20"/>
          <w:szCs w:val="20"/>
        </w:rPr>
        <w:t>М</w:t>
      </w:r>
      <w:r w:rsidR="007D325C">
        <w:rPr>
          <w:sz w:val="20"/>
          <w:szCs w:val="20"/>
        </w:rPr>
        <w:t>О</w:t>
      </w:r>
      <w:r w:rsidR="00446F5F">
        <w:rPr>
          <w:sz w:val="20"/>
          <w:szCs w:val="20"/>
        </w:rPr>
        <w:t xml:space="preserve">БУ </w:t>
      </w:r>
      <w:r w:rsidR="007D325C">
        <w:rPr>
          <w:sz w:val="20"/>
          <w:szCs w:val="20"/>
        </w:rPr>
        <w:t>ДОД ДЮСШ «Гранит»</w:t>
      </w:r>
      <w:r w:rsidRPr="002554A5">
        <w:rPr>
          <w:sz w:val="20"/>
          <w:szCs w:val="20"/>
        </w:rPr>
        <w:t>.</w:t>
      </w:r>
    </w:p>
    <w:p w:rsidR="002554A5" w:rsidRPr="002554A5" w:rsidRDefault="002554A5" w:rsidP="002554A5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2554A5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>муниципальных учреждений  подведомственных  Управлению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 xml:space="preserve">культуры администрации </w:t>
      </w:r>
      <w:proofErr w:type="spellStart"/>
      <w:r w:rsidRPr="002554A5">
        <w:rPr>
          <w:b/>
          <w:sz w:val="20"/>
          <w:szCs w:val="20"/>
        </w:rPr>
        <w:t>Дальнегорского</w:t>
      </w:r>
      <w:proofErr w:type="spellEnd"/>
      <w:r w:rsidRPr="002554A5">
        <w:rPr>
          <w:b/>
          <w:sz w:val="20"/>
          <w:szCs w:val="20"/>
        </w:rPr>
        <w:t xml:space="preserve"> городского округа: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lastRenderedPageBreak/>
        <w:t>Высшая категория и, (или) группа должносте</w:t>
      </w:r>
      <w:proofErr w:type="gramStart"/>
      <w:r w:rsidRPr="002554A5">
        <w:rPr>
          <w:sz w:val="20"/>
          <w:szCs w:val="20"/>
          <w:u w:val="single"/>
        </w:rPr>
        <w:t>й</w:t>
      </w:r>
      <w:r w:rsidRPr="002554A5">
        <w:rPr>
          <w:sz w:val="20"/>
          <w:szCs w:val="20"/>
        </w:rPr>
        <w:t>-</w:t>
      </w:r>
      <w:proofErr w:type="gramEnd"/>
      <w:r w:rsidRPr="002554A5">
        <w:rPr>
          <w:sz w:val="20"/>
          <w:szCs w:val="20"/>
        </w:rPr>
        <w:t xml:space="preserve"> отсутствует;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Главная категория 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руководитель бюджетного учреждения, главный бухгалтер, начальник ПЭО;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Ведущая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>заместитель руководителя, ведущий бухгалтер, ведущий экономист, бухгалтер, экономист, инспектор по кадрам, программист, заведующий, юрист, менеджер, художественный руководитель, руководитель кружка, главный художник, художник, режиссер, концертмейстер, балетмейстер, хормейстер,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Pr="002554A5">
        <w:rPr>
          <w:sz w:val="20"/>
          <w:szCs w:val="20"/>
        </w:rPr>
        <w:t>культорганизатор</w:t>
      </w:r>
      <w:proofErr w:type="spellEnd"/>
      <w:r w:rsidRPr="002554A5">
        <w:rPr>
          <w:sz w:val="20"/>
          <w:szCs w:val="20"/>
        </w:rPr>
        <w:t>, инженер,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>инструктор, главный хранитель фондов, редактор, врач, старшая медсестра, методист, дирижёр, аккомпаниатор, педагогический персонал;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Старшая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администратор, кассир, секретарь, контролёр, кладовщик, специалист, медицинская сестра, швея, техник;</w:t>
      </w:r>
    </w:p>
    <w:p w:rsidR="002554A5" w:rsidRPr="002554A5" w:rsidRDefault="002554A5" w:rsidP="002554A5">
      <w:pPr>
        <w:pStyle w:val="a4"/>
        <w:rPr>
          <w:sz w:val="20"/>
          <w:szCs w:val="20"/>
          <w:u w:val="single"/>
        </w:rPr>
      </w:pPr>
      <w:r w:rsidRPr="002554A5">
        <w:rPr>
          <w:sz w:val="20"/>
          <w:szCs w:val="20"/>
          <w:u w:val="single"/>
        </w:rPr>
        <w:t>Младшая категория и, (или) группа должностей: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 xml:space="preserve">музейный смотритель, дворник, уборщик, сторож, слесарь-сантехник, электрик, сантехник, дежурный, машинист насосной установки, </w:t>
      </w:r>
      <w:proofErr w:type="spellStart"/>
      <w:r w:rsidRPr="002554A5">
        <w:rPr>
          <w:sz w:val="20"/>
          <w:szCs w:val="20"/>
        </w:rPr>
        <w:t>хлораторщик</w:t>
      </w:r>
      <w:proofErr w:type="spellEnd"/>
      <w:r w:rsidRPr="002554A5">
        <w:rPr>
          <w:sz w:val="20"/>
          <w:szCs w:val="20"/>
        </w:rPr>
        <w:t>, делопроизводитель, рабочий по комплексному обслуживанию зданий, спортивных сооружений.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</w:p>
    <w:sectPr w:rsidR="002554A5" w:rsidRPr="002554A5" w:rsidSect="00A633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76E9"/>
    <w:multiLevelType w:val="hybridMultilevel"/>
    <w:tmpl w:val="152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C7F81"/>
    <w:rsid w:val="000E51D9"/>
    <w:rsid w:val="00171096"/>
    <w:rsid w:val="0018716C"/>
    <w:rsid w:val="001B4CF4"/>
    <w:rsid w:val="001C17E1"/>
    <w:rsid w:val="001C7B46"/>
    <w:rsid w:val="001F1ED5"/>
    <w:rsid w:val="002554A5"/>
    <w:rsid w:val="002740EE"/>
    <w:rsid w:val="002C227F"/>
    <w:rsid w:val="003175C2"/>
    <w:rsid w:val="00391AD6"/>
    <w:rsid w:val="003B151D"/>
    <w:rsid w:val="003B3116"/>
    <w:rsid w:val="003F1A24"/>
    <w:rsid w:val="003F253D"/>
    <w:rsid w:val="00402A91"/>
    <w:rsid w:val="00407066"/>
    <w:rsid w:val="0043786A"/>
    <w:rsid w:val="00446F5F"/>
    <w:rsid w:val="00455768"/>
    <w:rsid w:val="004E66F4"/>
    <w:rsid w:val="004F58F7"/>
    <w:rsid w:val="005078C6"/>
    <w:rsid w:val="00581508"/>
    <w:rsid w:val="005B3306"/>
    <w:rsid w:val="006024ED"/>
    <w:rsid w:val="006244D4"/>
    <w:rsid w:val="00626509"/>
    <w:rsid w:val="006578FD"/>
    <w:rsid w:val="0068256E"/>
    <w:rsid w:val="006A1944"/>
    <w:rsid w:val="006B228A"/>
    <w:rsid w:val="006C0E42"/>
    <w:rsid w:val="006C5FD6"/>
    <w:rsid w:val="006C7139"/>
    <w:rsid w:val="006F58A8"/>
    <w:rsid w:val="00713D1A"/>
    <w:rsid w:val="0076714F"/>
    <w:rsid w:val="007C1CA4"/>
    <w:rsid w:val="007D20EF"/>
    <w:rsid w:val="007D325C"/>
    <w:rsid w:val="00801AED"/>
    <w:rsid w:val="00812E9F"/>
    <w:rsid w:val="0081338C"/>
    <w:rsid w:val="00834515"/>
    <w:rsid w:val="00847266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76C8D"/>
    <w:rsid w:val="00991698"/>
    <w:rsid w:val="009C12B4"/>
    <w:rsid w:val="009C752D"/>
    <w:rsid w:val="009D43E7"/>
    <w:rsid w:val="00A6331C"/>
    <w:rsid w:val="00AD4F1C"/>
    <w:rsid w:val="00B14392"/>
    <w:rsid w:val="00B1477C"/>
    <w:rsid w:val="00B14B9F"/>
    <w:rsid w:val="00B54A8E"/>
    <w:rsid w:val="00B95746"/>
    <w:rsid w:val="00BE1E99"/>
    <w:rsid w:val="00C22A80"/>
    <w:rsid w:val="00C250B0"/>
    <w:rsid w:val="00C50205"/>
    <w:rsid w:val="00C87995"/>
    <w:rsid w:val="00C87F26"/>
    <w:rsid w:val="00CA0B87"/>
    <w:rsid w:val="00CE57B8"/>
    <w:rsid w:val="00D02448"/>
    <w:rsid w:val="00D776FA"/>
    <w:rsid w:val="00DC3C53"/>
    <w:rsid w:val="00DD06DE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77B38"/>
    <w:rsid w:val="00FB13DE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paragraph" w:styleId="3">
    <w:name w:val="heading 3"/>
    <w:basedOn w:val="a"/>
    <w:link w:val="30"/>
    <w:uiPriority w:val="9"/>
    <w:qFormat/>
    <w:rsid w:val="006C0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E42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714-49B8-454C-8444-A0380907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4</cp:revision>
  <cp:lastPrinted>2015-12-02T04:59:00Z</cp:lastPrinted>
  <dcterms:created xsi:type="dcterms:W3CDTF">2015-12-02T03:23:00Z</dcterms:created>
  <dcterms:modified xsi:type="dcterms:W3CDTF">2016-01-15T03:51:00Z</dcterms:modified>
</cp:coreProperties>
</file>