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02" w:rsidRDefault="00610402" w:rsidP="00610402">
      <w:pPr>
        <w:spacing w:line="100" w:lineRule="atLeast"/>
        <w:ind w:left="552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</w:p>
    <w:p w:rsidR="00610402" w:rsidRDefault="00610402" w:rsidP="00610402">
      <w:pPr>
        <w:spacing w:line="100" w:lineRule="atLeas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решению Думы Дальнегорского городского округа </w:t>
      </w:r>
    </w:p>
    <w:p w:rsidR="00610402" w:rsidRDefault="00610402" w:rsidP="00610402">
      <w:pPr>
        <w:spacing w:line="100" w:lineRule="atLeast"/>
        <w:ind w:left="482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____________2019г. № _____</w:t>
      </w:r>
    </w:p>
    <w:p w:rsidR="00610402" w:rsidRDefault="00610402" w:rsidP="00610402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02" w:rsidRDefault="00610402" w:rsidP="00610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10402" w:rsidRDefault="00610402" w:rsidP="00610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порядке списания муниципального имущества Дальнегорского </w:t>
      </w:r>
    </w:p>
    <w:p w:rsidR="00610402" w:rsidRDefault="00610402" w:rsidP="006104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округа</w:t>
      </w:r>
    </w:p>
    <w:p w:rsidR="00610402" w:rsidRDefault="00610402" w:rsidP="006D2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842" w:rsidRPr="006D2842" w:rsidRDefault="006D2842" w:rsidP="006D2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9013E8" w:rsidRDefault="006D2842" w:rsidP="006576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1.1. </w:t>
      </w:r>
      <w:proofErr w:type="gramStart"/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списании муниципального имущества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Положение) разработано на основании </w:t>
      </w:r>
      <w:hyperlink r:id="rId4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Гражданского кодекса Российской Федерации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5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Федерального закона от 12.01.1996 N 7-ФЗ "О некоммерческих организациях"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Федерального закона от 03.11.2006 N 174-ФЗ "Об автономных учреждениях"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8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Федерального закона от 06.12.2011 N 402-ФЗ "О бухгалтерском учете</w:t>
        </w:r>
        <w:proofErr w:type="gramEnd"/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C56A1" w:rsidRPr="00D76B7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Федерального закона от 14.11.2002 № 161-ФЗ «О государственных и муниципальных унитарных предприятиях»,</w:t>
      </w:r>
      <w:r w:rsidR="00D76B7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Министерства финансов Российской Федерации от 01.12.2010 N 157</w:t>
      </w:r>
      <w:r w:rsid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proofErr w:type="gramStart"/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hyperlink r:id="rId9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приказа Министерства финансов Российской Федерации от 06.12.2010 N 162н "Об утверждении Плана счетов бюджетного учета и Инструкции по его применению"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приказа Министерства финансов Российской Федерации от 16.12.2010 N 174н "Об утверждении Плана счетов бухгалтерского учета бюджетных учреждений и Инструкции по его применению"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приказа Министерства финансов Российской</w:t>
        </w:r>
        <w:proofErr w:type="gramEnd"/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proofErr w:type="gramStart"/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Федерации от 23.12.2010 N 183н "Об утверждении Плана счетов бухгалтерского учета автономных учреждений и Инструкции по его применению"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приказа Министерства финансов Российской Федерации от 31.10.2000 N 94н "Об утверждении плана счетов бухгалтерского учета финансово-хозяйственной деятельности организаций и Инструкции по его применению"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3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приказа Министерства финансов Российской Федерации от 13.10.2003 N 91н "Об утверждении Методических указаний по бухгалтерскому учету основных средств"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</w:t>
      </w:r>
      <w:proofErr w:type="gramEnd"/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акта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hyperlink r:id="rId14" w:history="1"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от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26.02.2009</w:t>
        </w:r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N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966</w:t>
        </w:r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"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Положение о п</w:t>
        </w:r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орядк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</w:t>
        </w:r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управления и распоряжения муниципальн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ой собственностью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Дальнегорского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городского округа</w:t>
        </w:r>
        <w:r w:rsidRPr="006D284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"</w:t>
        </w:r>
      </w:hyperlink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D2842" w:rsidRPr="006D2842" w:rsidRDefault="006D2842" w:rsidP="006576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 Положение определяет порядок списания движимого и недвижимого имущества, находящегося в собственности Дальнегорского городского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Имущество), в составе муниципальной казны (далее - муниципальная казна) либо закрепленного на праве хозяйственного ведения за муниципальными унитарными предприятиями (далее - Предприятия) или на праве оперативного управления за органами местного самоуправления, муниципальными бюджетными, автономными и казенными учреждениями (далее - Учреждение).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Для целей настоящего Положения под списанием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иных подтвержденных документально причин, когда дальнейшая эксплуатация Имущества не представляется возможной, а восстановить его невозможно или экономически нецелесообразно.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Основания и порядок списания Имущества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Решение о списании муниципального имущества принимается в следующих случаях:</w:t>
      </w:r>
    </w:p>
    <w:p w:rsid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а также экономической нецелесообразности или невозможности его восстановления;</w:t>
      </w:r>
    </w:p>
    <w:p w:rsidR="00EE01B3" w:rsidRPr="006D2842" w:rsidRDefault="00EE01B3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1B3">
        <w:rPr>
          <w:rFonts w:ascii="Times New Roman" w:hAnsi="Times New Roman" w:cs="Times New Roman"/>
          <w:sz w:val="26"/>
          <w:szCs w:val="26"/>
        </w:rPr>
        <w:t>В настоящем Порядке понятия "нецелесообразность дальнейшего использования имущества", "нецелесообразность восстановления имущества" являются равнозначными, под ними понимается необходимость вложения учреждением, предприятием Дальнегорского городского округа суммы денежных сре</w:t>
      </w:r>
      <w:proofErr w:type="gramStart"/>
      <w:r w:rsidRPr="00EE01B3">
        <w:rPr>
          <w:rFonts w:ascii="Times New Roman" w:hAnsi="Times New Roman" w:cs="Times New Roman"/>
          <w:sz w:val="26"/>
          <w:szCs w:val="26"/>
        </w:rPr>
        <w:t>дств в в</w:t>
      </w:r>
      <w:proofErr w:type="gramEnd"/>
      <w:r w:rsidRPr="00EE01B3">
        <w:rPr>
          <w:rFonts w:ascii="Times New Roman" w:hAnsi="Times New Roman" w:cs="Times New Roman"/>
          <w:sz w:val="26"/>
          <w:szCs w:val="26"/>
        </w:rPr>
        <w:t>осстановление имущества, превышающей сумму денежных средств на приобретение аналогичного имущества.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связи с запланированным сносом (ликвидацией) зданий, сооружений в границах строительных площадок при строительстве, реконструкции;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имущество выбыло из владения, пользования и распоряжения вследствие гибели или уничтожения, в том числе помимо воли владельца.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Решение о списании принимается в отношении следующего муниципального имущества:</w:t>
      </w:r>
    </w:p>
    <w:p w:rsidR="006D2842" w:rsidRPr="00A96F11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недвижимого имущества (включая объекты незавершенного строительства), составляющего муниципальную казну, - правовым актом администрации </w:t>
      </w:r>
      <w:r w:rsidR="009013E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 которого готовит </w:t>
      </w:r>
      <w:r w:rsidR="00D76B74"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муниципального имущества</w:t>
      </w:r>
      <w:r w:rsidR="00D76B74"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D76B74"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альнегорского</w:t>
      </w:r>
      <w:proofErr w:type="spellEnd"/>
      <w:r w:rsid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(далее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движимого имущества (включая автотранспортные средства), составляющего </w:t>
      </w:r>
      <w:r w:rsidRPr="00E444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казну, - уполномоченным органом;</w:t>
      </w:r>
    </w:p>
    <w:p w:rsidR="006D2842" w:rsidRPr="00E44441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недвижимого имущества (включая объекты незавершенного строительства),  особо ценного движимого имущества, </w:t>
      </w:r>
      <w:r w:rsidR="00E44441"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закрепленного на праве  оперативного управления за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</w:t>
      </w:r>
      <w:r w:rsidR="00E44441"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бюджетным</w:t>
      </w:r>
      <w:r w:rsidR="00E44441"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автономным</w:t>
      </w:r>
      <w:r w:rsidR="00E44441"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</w:t>
      </w:r>
      <w:r w:rsidR="00E44441"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, - указанными учреждениями по согласованию с уполномоченным органом;</w:t>
      </w:r>
    </w:p>
    <w:p w:rsidR="006D2842" w:rsidRPr="00E44441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движимого имущества, не включенного в </w:t>
      </w:r>
      <w:r w:rsidR="00E44441" w:rsidRPr="00E4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особо ценного </w:t>
      </w:r>
      <w:r w:rsidR="0065761D" w:rsidRPr="00E4444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Дальнегорского</w:t>
      </w:r>
      <w:r w:rsidR="009013E8" w:rsidRPr="00E4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E44441" w:rsidRPr="00E44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стоимостью до 200 тыс</w:t>
      </w:r>
      <w:proofErr w:type="gramStart"/>
      <w:r w:rsidR="00E44441" w:rsidRPr="00E4444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44441" w:rsidRPr="00E44441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442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4444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находящегося у муниципальных автономных, бюджетных учреждений, - указанными учреждениями самостоятельно;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имущества, находящегося у муниципальных казенных учреждений, - казенными учреждениями по согласованию с уполномоченным органом;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недвижимого имущества (включая объекты незавершенного строительства), а также автотранспортных средств, принадлежащих Предприятиям, - указанными предприятиями по согласованию с уполномоченным органом;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65761D"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имущества, принадлежащего Предприятиям на праве хозяйственного ведения, по согласованию с уполномоченным органом;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Истечение нормативного срока полезного использования Имущества или начисление по нему 100% износа не является основанием для списания, если Имущество по своему техническому </w:t>
      </w:r>
      <w:proofErr w:type="gramStart"/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состоянию</w:t>
      </w:r>
      <w:proofErr w:type="gramEnd"/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после восстановления может быть использовано для дальнейшей эксплуатации по прямому назначению.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 полноту и правильность проведения мероприятий по списанию, закрепленного за Предприятиями и Учреждениями, органами местного самоуправления муниципального имущества, документальное оформление и финансовые расчеты несет ответственность руководитель Предприятия (Учреждения).</w:t>
      </w:r>
    </w:p>
    <w:p w:rsidR="006D5198" w:rsidRPr="00D57737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целях подготовки и принятия решения о спи</w:t>
      </w:r>
      <w:r w:rsidR="006D5198"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сании муниципального имущества </w:t>
      </w:r>
      <w:r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создается постоянно действующая комиссия по подготовке и принятию решения о списании муниципального имущества</w:t>
      </w:r>
      <w:r w:rsidR="006D5198"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17BB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7B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по подготовке и принятию решения о списании муниципального имущества казны</w:t>
      </w:r>
      <w:r w:rsidR="006D5198" w:rsidRPr="008317B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положения о комиссии</w:t>
      </w:r>
      <w:r w:rsidRPr="00831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утверждается </w:t>
      </w:r>
      <w:r w:rsidR="0076651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31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9013E8" w:rsidRPr="008317B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6D5198" w:rsidRPr="008317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5198" w:rsidRDefault="00ED4580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58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Персональный состав Комиссии</w:t>
      </w:r>
      <w:r w:rsid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45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и принятию решения о списании муниципального имущества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закреплённого за учреждениями и предприятиями,</w:t>
      </w:r>
      <w:r w:rsid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6B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D45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станавливается Приказом руководителя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(предприятия).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по подготовке и принятию решения о списании муниципального имущества возглавляет председатель, который осуществляет общее руководство деятельностью комиссии, обеспечивает коллегиальность в обсуждении спорных </w:t>
      </w:r>
      <w:r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вопросов, распределяет обязанности и дает поручения членам комиссии.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у Предприятия (Учреждения) работников, обладающих специальными знаниями для определения технического состояния муниципального имущества, непригодного для дальнейшей эксплуатации, или признания муниципального имущества аварийным, приносящим угрозу жизни окружающим, заключение (акт, отчет) о техническом состоянии Имущества предоставляет организация, имеющая право осуществлять данный вид деятельности.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подготовке и принятию решения о списании муниципального имущества проводит заседания по мере необходимости.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по подготовке и принятию решения о списании муниципального имущества правомочно при наличии кворума, который составляет не менее двух третей членов состава комиссии.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функции комиссии по подготовке и принятию решения о списании муниципального имущества входит: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осмотр муниципального имущества, подлежащего списанию, с учетом данных, содержащихся в учетно-технической и иной документации;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причин для списания муниципального имущества: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иные причины, которые привели к необходимости списания муниципального имущества;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решения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 (при необходимости) и их оценка исходя из текущей рыночной стоимости; контроль за изъятием из списываемых в составе объекта цветных и драгоценных металлов, определение их количества, веса;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лиц, по вине которых произошло преждевременное выбытие объектов муниципального имущества из эксплуатации, внесение предложений о привлечении этих лиц к ответственности, установленной законодательством Российской Федерации;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42F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акта (заключения) на списание объекта по утвержденной унифицированной форме, подтверждающего причину (основание) принятия решения о списании муниципального имущества, и формирование пакета документов к нему.</w:t>
      </w:r>
    </w:p>
    <w:p w:rsidR="009B5AAA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Решение о списании муниципального Имущества принимается большинством голосов членов комиссии по подготовке и принятию решения о списании муниципального имущества, присутствующих на заседании. Результаты принятого комиссией решения оформляются актом (заключением) на списание объекта по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утвержденной унифицированной форме, подтверждающим причину (основание) принятия решения о списании Имущества.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Для согласования списания муниципального имущества Предприятие (Учреждение) представляет в уполномоченный орган в отношении муниципального имущества следующие документы: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письмо на бланке, содержащем полное наименование Предприятия (Учреждения), с приложением перечня муниципального имущества, решение о списании которого подлежит согласованию.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перечне муниципального имущества указывается: номер по порядку; наименование муниципального имущества; инвентарный номер муниципального имущества в случае его присвоения; год ввода в эксплуатацию (год выпуска) муниципального имущества; балансовая стоимость, амортизация, остаточная стоимость муниципального имущества на момент принятия решения о списании; срок полезного использования, установленный для данного муниципального имущества, и срок фактического использования на момент принятия решения о списании;</w:t>
      </w:r>
    </w:p>
    <w:p w:rsidR="00766512" w:rsidRPr="004C61F0" w:rsidRDefault="00766512" w:rsidP="00766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C61F0">
        <w:rPr>
          <w:rFonts w:ascii="Times New Roman" w:eastAsia="Times New Roman" w:hAnsi="Times New Roman" w:cs="Times New Roman"/>
          <w:sz w:val="26"/>
          <w:szCs w:val="26"/>
        </w:rPr>
        <w:t xml:space="preserve">- копию решения о создании комиссии по подготовке и принятию решения о списании муниципального имущества (с приложением положения о данной комиссии и ее состава, утвержденных приказом руководителя) в случае, если такая комиссия создается впервые, либо в случае, если в ее </w:t>
      </w:r>
      <w:proofErr w:type="gramStart"/>
      <w:r w:rsidRPr="004C61F0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proofErr w:type="gramEnd"/>
      <w:r w:rsidRPr="004C61F0">
        <w:rPr>
          <w:rFonts w:ascii="Times New Roman" w:eastAsia="Times New Roman" w:hAnsi="Times New Roman" w:cs="Times New Roman"/>
          <w:sz w:val="26"/>
          <w:szCs w:val="26"/>
        </w:rPr>
        <w:t xml:space="preserve"> либо в состав внесены изменения;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акт о списании муниципального имущества по утвержденной </w:t>
      </w:r>
      <w:r w:rsidRPr="00942FB8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унифицированной форме,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подтверждающий причину (основание) принятия решения о списании Имущества в зависимости от вида списываемого муниципального имущества;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инвентарной карточки учета муниципального имущества с указанием всех обязательных реквизитов;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6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объектов недвижимого имущества </w:t>
      </w:r>
      <w:r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наличии </w:t>
      </w:r>
      <w:r w:rsidR="001060E0"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(отсутствии) </w:t>
      </w:r>
      <w:r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сумме финансовых обременений или иных обязательств, связанных с имуществом (залог, сервитут и прочие судебные процессы, решения);</w:t>
      </w:r>
    </w:p>
    <w:p w:rsidR="00DA0D9F" w:rsidRDefault="00DA0D9F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заключения (акта, отчета) о техническом состоянии муниципального </w:t>
      </w:r>
      <w:r w:rsidR="007F75D5"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2C387F"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относящегося к объектам вычислительной техники, к устройствам ввода, вывода, представления и передачи данных</w:t>
      </w:r>
      <w:r w:rsidR="007F75D5"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выданного комиссией балансодержателя.</w:t>
      </w:r>
    </w:p>
    <w:p w:rsidR="007F75D5" w:rsidRDefault="006D2842" w:rsidP="004A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заключения (акта, отчета</w:t>
      </w:r>
      <w:r w:rsidR="007F75D5"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="007F75D5"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,с</w:t>
      </w:r>
      <w:proofErr w:type="gramEnd"/>
      <w:r w:rsidR="007F75D5"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одержащего выводы о непригодности объекта муниципального имущества, относящегося к объектам вычислительной техники, к устройствам ввода, вывода, представления и передачи данных к дальнейшей эксплуатации,</w:t>
      </w:r>
      <w:r w:rsid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75D5"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выданного организацией, имеющей право осуществлять данный вид деятельности</w:t>
      </w:r>
      <w:r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техническом сос</w:t>
      </w:r>
      <w:r w:rsidR="007F75D5" w:rsidRPr="004C61F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тоянии.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приказ руководителя Предприятия (Учреждения) о принятии мер в отношении виновных лиц</w:t>
      </w:r>
      <w:r w:rsidR="00DE6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 таковых)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допустивших повреждение объекта основных средств.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возмещении виновными лицами ущерба представляются копии платежных документов.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Для согласования списания муниципального недвижимого имущества (включая объекты незавершенного строительства) кроме документов, указанных в пункте 2.7 настоящего Положения, при необходимости представляются: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исключении объекта из состава мобилизационных мощностей (в случае, если объект был включен в соответствующий перечень);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обременениях Имущества с приложением копий соответствующих документов (при наличии);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органа охраны объектов культурного наследия о том, что объект недвижимого имущества не отнесен к объектам культурного наследия;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 (справка), </w:t>
      </w:r>
      <w:r w:rsidRPr="004A5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выданный </w:t>
      </w:r>
      <w:r w:rsidR="004A5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</w:t>
      </w:r>
      <w:proofErr w:type="spellStart"/>
      <w:r w:rsidR="004A5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ГОиЧС</w:t>
      </w:r>
      <w:proofErr w:type="spellEnd"/>
      <w:r w:rsidR="004A5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ДГО,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объекты недвижимого имущества не являются объектами гражданской обороны (в случае если рассматривается вопрос утилизации таких объектов недвижимого имущества, как</w:t>
      </w:r>
      <w:r w:rsidR="004A5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укрытия, убежища, защитные сооружения</w:t>
      </w:r>
      <w:r w:rsidR="004A5F4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F4F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вопроса об утилизации объекта незавершенного строительства в заключении о техническом состоянии объекта также отражаются вопросы целесообразности достройки объекта и наличия угроз безопасности людей</w:t>
      </w:r>
      <w:proofErr w:type="gramStart"/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F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Для согласования списания автотранспортных средств кроме документов, указанных в пункте 2.7 настоящего Положения, представляется копия паспорта транспортного средства.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Для согласования списания муниципального имущества, срок фактической эксплуатации которого не превышает срока полезного использования, кроме документов, указанных в пункте 2.7 настоящего Положения, представляются: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 проверки о ненадлежащем использовании или хранении муниципального имущества с указанием виновных лиц;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письмо о принятых мерах в отношении виновных лиц (в случае их установления) с приложением подтверждающих документов: справки о стоимости нанесенного ущерба, справки о возмещении ущерба виновными лицами;</w:t>
      </w:r>
    </w:p>
    <w:p w:rsid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письмо с подробным пояснением причин, вызвавших списание муниципального имущества до истечения срока полезного использования (в случае отсутствия виновных лиц).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</w:t>
      </w:r>
      <w:r w:rsidR="004A5F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согласования списания муниципального имущества, пришедшего в негодное состояние в результате аварий, стихийных бедствий, кроме документов, указанных в пункте 2.7 настоящего Положения, представляется копия акта о причиненных повреждениях с приложением копий документов, подтверждающих факт аварии или стихийного бедствия.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объект муниципального имущества пришел в негодное состояние в результате совершения правонарушений или преступлений, также прилагаются копии: постановления правоохранительного органа о возбуждении уголовного дела, постановления правоохранительного органа о прекращении уголовного дела или иные документы, подтверждающие возмещение причиненного ущерба или принятие мер по защите интересов </w:t>
      </w:r>
      <w:r w:rsidR="00A140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Учреждения, Предприятия.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F721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Копии документов, представляемых в соответствии с настоящим Положением, заверяются подписью руководителя и печатью.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F7216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Основанием для списания муниципального недвижимого имущества, составляющего муниципальную казну (подпункт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1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2.2 настоящего Положения), является правовой акт администрации </w:t>
      </w:r>
      <w:r w:rsidR="00A140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списания муниципального движимого имущества (включая автотранспортные средства), составляющего муниципальную казну, указанного в подпункте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2.2 настоящего Положения, и муниципального имущества, указанного в подпунктах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2.2 настоящего Положения, </w:t>
      </w:r>
      <w:r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</w:t>
      </w:r>
      <w:r w:rsidR="00037600"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органа.</w:t>
      </w:r>
      <w:proofErr w:type="gramEnd"/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списания муниципального движимого имущества, указанного в </w:t>
      </w:r>
      <w:r w:rsidRPr="000376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0C15D0" w:rsidRPr="0003760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CD6" w:rsidRPr="0003760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3760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07CD6" w:rsidRPr="000376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760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2.2 настоящего Положения, является приказ руководителя Предприятия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(Учреждения). Перечни списанного муниципального имущества и документы, подтверждающие ликвидацию Имущества, в обязательном порядке направляют в уполномоченный орган.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Уполномоченный орган рассматривает представленные в соответствии с пунктами 2.7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2.14 настоящего Положения документы и в случае отсутствия замечаний к представленным документам издает правовой акт о согласовании списания муниципального имущества, указанного в подпунктах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2.2 настоящего Положения.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наличия замечаний к представленным документам уполномоченный орган возвращает документы на доработку с указанием причин возврата.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срок рассмотрения уполномоченным органом документов и принятия решения о согласии на списание муниципального имущества или об отказе в списании муниципального имущества не должен превышать 30 календарных дней со дня поступления в уполномоченный орган документов, перечисленных в пунктах 2.7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2.14 настоящего Положения.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Правовой акт о согласовании списания муниципального имущества направляется в адрес Предприятия (Учреждения).</w:t>
      </w:r>
    </w:p>
    <w:p w:rsid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акт 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списании имущества </w:t>
      </w:r>
      <w:r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A14099"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="00A14099"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  <w:proofErr w:type="gramStart"/>
      <w:r w:rsidR="00A14099"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уполномоченного органа </w:t>
      </w:r>
      <w:r w:rsidR="00A14099"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proofErr w:type="gramEnd"/>
      <w:r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основанием для  исключения 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</w:t>
      </w:r>
      <w:r w:rsidRP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реестра муниципальной собственности.</w:t>
      </w:r>
      <w:bookmarkStart w:id="0" w:name="_GoBack"/>
      <w:bookmarkEnd w:id="0"/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07386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Выбытие муниципального имущества в связи с принятием решения о списании имущества отражается в бухгалтерском (бюджетном) учете Предприятий и Учреждений в установленном порядке.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Использование Имущества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Уполномоченный орган вправе принять следующие решения о дальнейшем использовании Имущества:</w:t>
      </w:r>
    </w:p>
    <w:p w:rsidR="006D2842" w:rsidRPr="006D2842" w:rsidRDefault="00747B8E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D2842"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) о разукомплектовании (разборке) Им</w:t>
      </w:r>
      <w:r w:rsidR="00CB05B2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ущества силами балансодержателя.</w:t>
      </w:r>
    </w:p>
    <w:p w:rsidR="006B578E" w:rsidRDefault="00007CD6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6D2842"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ликвидации (уничтожении) Имущества силами балансодержателя</w:t>
      </w:r>
      <w:proofErr w:type="gramStart"/>
      <w:r w:rsidR="006D2842"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7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47B8E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При разукомплектовании (разборке) Имущества балансодержателем все детали, узлы и агрегаты разобранных и демонтированных объектов, годные для дальнейшей эксплуатации, а также получаемые материалы (далее </w:t>
      </w:r>
      <w:r w:rsidR="00007C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материальные ценности) приходуются балансодержателем на соответствующие счета в соответствии с правилами бухгалтерского учета. 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Полученные в ходе разборки Имущества детали и узлы, изготовленные с применением драгоценных металлов, учитываются в порядке, установленном законодательством Российской Федерации.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Убытки от ликвидации Имущества относятся к результатам хозяйственной деятельности балансодержателя</w:t>
      </w:r>
      <w:r w:rsidR="00747B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Разукомплектование (разборка) и ликвидация (уничтожение) Имущества балансодержателем до принятия решения уполномоченным органом не допускается.</w:t>
      </w:r>
    </w:p>
    <w:p w:rsidR="006D2842" w:rsidRPr="00A419DA" w:rsidRDefault="006D2842" w:rsidP="006576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19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Реализация</w:t>
      </w:r>
      <w:r w:rsidR="002E1C17" w:rsidRPr="00A419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списанного и</w:t>
      </w:r>
      <w:r w:rsidRPr="00A419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мущества</w:t>
      </w:r>
    </w:p>
    <w:p w:rsidR="006D2842" w:rsidRPr="00A419DA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9D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Реализация Имущества производится балансодержателем</w:t>
      </w:r>
      <w:r w:rsidR="003C24B1" w:rsidRPr="00A41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41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вправе привлекать третьих лиц для осуществления разборки и последующей реализации Имущества, если подобная деятельность не может быть выполнена им самостоятельно в силу технических либо иных причин.</w:t>
      </w:r>
    </w:p>
    <w:p w:rsidR="006D2842" w:rsidRPr="00A419DA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9D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C24B1" w:rsidRPr="00A41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41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Ликвидация недвижимого Имущества путем сноса (демонтажа) производится балансодержателем в целях дальнейшей реализации строительного материала и освобождения земельного участка с соблюдением всех установленных строительных норм и правил.</w:t>
      </w:r>
    </w:p>
    <w:p w:rsidR="006D2842" w:rsidRPr="00D57737" w:rsidRDefault="006D2842" w:rsidP="006576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577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Распределение средств, полученных от разукомплектования и реализации Имущества</w:t>
      </w:r>
    </w:p>
    <w:p w:rsidR="00610402" w:rsidRPr="00D57737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5.1. Средства от реализации Имущества муниципальной казны, муниципальных казенных учреждений, а также материалов и комплектующих, полученных от его разборки, зачисляются в полном объеме в доход бюджета </w:t>
      </w:r>
      <w:r w:rsidR="00610402"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округа.</w:t>
      </w:r>
    </w:p>
    <w:p w:rsidR="006D2842" w:rsidRPr="00D57737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73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Денежными средствами, полученными муниципальными бюджетными и автономными учреждениями, муниципальными унитарными предприятиями от реализации списанного Имущества, Предприятия (Учреждения) распоряжаются самостоятельно.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Вступление в силу настоящего муниципального правового акта</w:t>
      </w:r>
    </w:p>
    <w:p w:rsidR="006D2842" w:rsidRPr="006D2842" w:rsidRDefault="006D2842" w:rsidP="006576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Признать утратившим силу:</w:t>
      </w:r>
    </w:p>
    <w:p w:rsidR="00610402" w:rsidRPr="00610402" w:rsidRDefault="006D2842" w:rsidP="00657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муниципальный правовой </w:t>
      </w:r>
      <w:r w:rsidR="00C94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proofErr w:type="spellStart"/>
      <w:r w:rsidR="00610402" w:rsidRPr="0061040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</w:t>
      </w:r>
      <w:proofErr w:type="spellEnd"/>
      <w:r w:rsidR="00610402" w:rsidRPr="00610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="00670BCD"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"http://docs.cntd.ru/document/432859883" </w:instrText>
      </w:r>
      <w:r w:rsidR="00670BCD"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610402" w:rsidRPr="00610402">
        <w:rPr>
          <w:rFonts w:ascii="Times New Roman" w:hAnsi="Times New Roman" w:cs="Times New Roman"/>
          <w:sz w:val="26"/>
          <w:szCs w:val="26"/>
        </w:rPr>
        <w:t>08.11.2013г</w:t>
      </w:r>
      <w:r w:rsidRPr="0061040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N </w:t>
      </w:r>
      <w:r w:rsidR="00610402" w:rsidRPr="00610402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166</w:t>
      </w:r>
      <w:r w:rsidR="0007386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="00610402">
        <w:rPr>
          <w:rFonts w:ascii="Times New Roman" w:hAnsi="Times New Roman" w:cs="Times New Roman"/>
          <w:sz w:val="26"/>
          <w:szCs w:val="26"/>
        </w:rPr>
        <w:t>«</w:t>
      </w:r>
      <w:r w:rsidR="00610402" w:rsidRPr="00610402">
        <w:rPr>
          <w:rFonts w:ascii="Times New Roman" w:hAnsi="Times New Roman" w:cs="Times New Roman"/>
          <w:sz w:val="26"/>
          <w:szCs w:val="26"/>
        </w:rPr>
        <w:t>Положение</w:t>
      </w:r>
      <w:r w:rsidR="00073864">
        <w:rPr>
          <w:rFonts w:ascii="Times New Roman" w:hAnsi="Times New Roman" w:cs="Times New Roman"/>
          <w:sz w:val="26"/>
          <w:szCs w:val="26"/>
        </w:rPr>
        <w:t xml:space="preserve"> </w:t>
      </w:r>
      <w:r w:rsidR="00610402" w:rsidRPr="00610402">
        <w:rPr>
          <w:rFonts w:ascii="Times New Roman" w:hAnsi="Times New Roman" w:cs="Times New Roman"/>
          <w:sz w:val="26"/>
          <w:szCs w:val="26"/>
        </w:rPr>
        <w:t xml:space="preserve">о порядке списания муниципального имущества </w:t>
      </w:r>
      <w:proofErr w:type="spellStart"/>
      <w:r w:rsidR="00610402" w:rsidRPr="0061040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610402" w:rsidRPr="006104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402" w:rsidRPr="00610402" w:rsidRDefault="00610402" w:rsidP="00657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402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D2842" w:rsidRPr="006D2842" w:rsidRDefault="00670BCD" w:rsidP="006576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6D2842" w:rsidRPr="006D28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6.2. Настоящий муниципальный правовой акт вступает в силу со дня его официального опубликования.</w:t>
      </w:r>
    </w:p>
    <w:sectPr w:rsidR="006D2842" w:rsidRPr="006D2842" w:rsidSect="00FA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42"/>
    <w:rsid w:val="00007CD6"/>
    <w:rsid w:val="0001144C"/>
    <w:rsid w:val="00037600"/>
    <w:rsid w:val="00073864"/>
    <w:rsid w:val="000B2F53"/>
    <w:rsid w:val="000C15D0"/>
    <w:rsid w:val="001004AD"/>
    <w:rsid w:val="00105C50"/>
    <w:rsid w:val="001060E0"/>
    <w:rsid w:val="0013042D"/>
    <w:rsid w:val="001C6C07"/>
    <w:rsid w:val="001E30EA"/>
    <w:rsid w:val="0029547C"/>
    <w:rsid w:val="002A57EF"/>
    <w:rsid w:val="002C387F"/>
    <w:rsid w:val="002E1C17"/>
    <w:rsid w:val="00326BED"/>
    <w:rsid w:val="00370EB8"/>
    <w:rsid w:val="003C24B1"/>
    <w:rsid w:val="003E6466"/>
    <w:rsid w:val="003F436D"/>
    <w:rsid w:val="00442058"/>
    <w:rsid w:val="004609FA"/>
    <w:rsid w:val="004A5F4F"/>
    <w:rsid w:val="004C61F0"/>
    <w:rsid w:val="004D663F"/>
    <w:rsid w:val="00573F60"/>
    <w:rsid w:val="005C4ED8"/>
    <w:rsid w:val="005E277D"/>
    <w:rsid w:val="00610402"/>
    <w:rsid w:val="00635CB6"/>
    <w:rsid w:val="00636029"/>
    <w:rsid w:val="0065761D"/>
    <w:rsid w:val="00670BCD"/>
    <w:rsid w:val="006B578E"/>
    <w:rsid w:val="006C0315"/>
    <w:rsid w:val="006D2842"/>
    <w:rsid w:val="006D5198"/>
    <w:rsid w:val="00706FA3"/>
    <w:rsid w:val="00713DFB"/>
    <w:rsid w:val="007152F0"/>
    <w:rsid w:val="00742F77"/>
    <w:rsid w:val="00747B8E"/>
    <w:rsid w:val="007549D6"/>
    <w:rsid w:val="00766512"/>
    <w:rsid w:val="007F75D5"/>
    <w:rsid w:val="0083071D"/>
    <w:rsid w:val="008317BB"/>
    <w:rsid w:val="00875394"/>
    <w:rsid w:val="009013E8"/>
    <w:rsid w:val="00910543"/>
    <w:rsid w:val="00921452"/>
    <w:rsid w:val="00942FB8"/>
    <w:rsid w:val="009B5AAA"/>
    <w:rsid w:val="00A14099"/>
    <w:rsid w:val="00A419DA"/>
    <w:rsid w:val="00A80D98"/>
    <w:rsid w:val="00A94E81"/>
    <w:rsid w:val="00A96F11"/>
    <w:rsid w:val="00AF21B7"/>
    <w:rsid w:val="00B94830"/>
    <w:rsid w:val="00C161D2"/>
    <w:rsid w:val="00C94919"/>
    <w:rsid w:val="00CB05B2"/>
    <w:rsid w:val="00D158BF"/>
    <w:rsid w:val="00D20537"/>
    <w:rsid w:val="00D57737"/>
    <w:rsid w:val="00D76B74"/>
    <w:rsid w:val="00DA0D9F"/>
    <w:rsid w:val="00DA4CD2"/>
    <w:rsid w:val="00DC56A1"/>
    <w:rsid w:val="00DE686F"/>
    <w:rsid w:val="00E44441"/>
    <w:rsid w:val="00ED4580"/>
    <w:rsid w:val="00EE01B3"/>
    <w:rsid w:val="00F23228"/>
    <w:rsid w:val="00F36F7F"/>
    <w:rsid w:val="00F43BD6"/>
    <w:rsid w:val="00F7216B"/>
    <w:rsid w:val="00F725E5"/>
    <w:rsid w:val="00FA227C"/>
    <w:rsid w:val="00FD5D88"/>
    <w:rsid w:val="00FE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7C"/>
  </w:style>
  <w:style w:type="paragraph" w:styleId="2">
    <w:name w:val="heading 2"/>
    <w:basedOn w:val="a"/>
    <w:link w:val="20"/>
    <w:uiPriority w:val="9"/>
    <w:qFormat/>
    <w:rsid w:val="006D2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2842"/>
    <w:rPr>
      <w:color w:val="0000FF"/>
      <w:u w:val="single"/>
    </w:rPr>
  </w:style>
  <w:style w:type="paragraph" w:customStyle="1" w:styleId="headertext">
    <w:name w:val="headertext"/>
    <w:basedOn w:val="a"/>
    <w:rsid w:val="006D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6088" TargetMode="External"/><Relationship Id="rId13" Type="http://schemas.openxmlformats.org/officeDocument/2006/relationships/hyperlink" Target="http://docs.cntd.ru/document/9018779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12568" TargetMode="External"/><Relationship Id="rId12" Type="http://schemas.openxmlformats.org/officeDocument/2006/relationships/hyperlink" Target="http://docs.cntd.ru/document/9017748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902254661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54660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250003" TargetMode="External"/><Relationship Id="rId14" Type="http://schemas.openxmlformats.org/officeDocument/2006/relationships/hyperlink" Target="http://docs.cntd.ru/document/432856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9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2019-09-10T02:05:00Z</cp:lastPrinted>
  <dcterms:created xsi:type="dcterms:W3CDTF">2019-09-09T06:17:00Z</dcterms:created>
  <dcterms:modified xsi:type="dcterms:W3CDTF">2019-09-12T04:40:00Z</dcterms:modified>
</cp:coreProperties>
</file>