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3762" w:type="dxa"/>
        <w:jc w:val="righ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762"/>
      </w:tblGrid>
      <w:tr>
        <w:trPr/>
        <w:tc>
          <w:tcPr>
            <w:tcW w:w="3762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УТВЕРЖДЕН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26"/>
                <w:szCs w:val="26"/>
                <w:shd w:fill="auto" w:val="clear"/>
                <w:lang w:val="ru-RU" w:eastAsia="ru-RU" w:bidi="ru-RU"/>
              </w:rPr>
              <w:t xml:space="preserve">Протоколом Совета по развитию малого и среднего предпринимательства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w w:val="100"/>
                <w:sz w:val="26"/>
                <w:szCs w:val="26"/>
                <w:shd w:fill="auto" w:val="clear"/>
                <w:lang w:val="ru-RU" w:eastAsia="zh-CN" w:bidi="ar-SA"/>
              </w:rPr>
              <w:t xml:space="preserve">Дальнегорского городского округа </w:t>
            </w:r>
            <w:r>
              <w:rPr>
                <w:rFonts w:ascii="Times New Roman" w:hAnsi="Times New Roman"/>
                <w:color w:val="000000"/>
                <w:spacing w:val="0"/>
                <w:w w:val="100"/>
                <w:sz w:val="26"/>
                <w:szCs w:val="26"/>
                <w:shd w:fill="auto" w:val="clear"/>
                <w:lang w:val="ru-RU" w:eastAsia="ru-RU" w:bidi="ru-RU"/>
              </w:rPr>
              <w:t xml:space="preserve">от </w:t>
            </w:r>
            <w:r>
              <w:rPr>
                <w:rFonts w:eastAsia="Tahoma" w:cs="Tahoma" w:ascii="Times New Roman" w:hAnsi="Times New Roman"/>
                <w:color w:val="000000"/>
                <w:spacing w:val="0"/>
                <w:w w:val="100"/>
                <w:sz w:val="26"/>
                <w:szCs w:val="26"/>
                <w:shd w:fill="auto" w:val="clear"/>
                <w:lang w:val="ru-RU" w:eastAsia="ru-RU" w:bidi="ru-RU"/>
              </w:rPr>
              <w:t>15</w:t>
            </w:r>
            <w:r>
              <w:rPr>
                <w:rFonts w:ascii="Times New Roman" w:hAnsi="Times New Roman"/>
                <w:color w:val="000000"/>
                <w:spacing w:val="0"/>
                <w:w w:val="100"/>
                <w:sz w:val="26"/>
                <w:szCs w:val="26"/>
                <w:shd w:fill="auto" w:val="clear"/>
                <w:lang w:val="ru-RU" w:eastAsia="ru-RU" w:bidi="ru-RU"/>
              </w:rPr>
              <w:t>.02.2022 г. № 2</w:t>
            </w:r>
          </w:p>
        </w:tc>
      </w:tr>
    </w:tbl>
    <w:p>
      <w:pPr>
        <w:pStyle w:val="Normal"/>
        <w:jc w:val="center"/>
        <w:rPr>
          <w:color w:val="96B9EF"/>
          <w:spacing w:val="0"/>
          <w:w w:val="100"/>
          <w:sz w:val="26"/>
          <w:szCs w:val="26"/>
          <w:lang w:val="ru-RU" w:eastAsia="ru-RU" w:bidi="ru-RU"/>
        </w:rPr>
      </w:pPr>
      <w:r>
        <w:rPr>
          <w:color w:val="96B9EF"/>
          <w:spacing w:val="0"/>
          <w:w w:val="100"/>
          <w:sz w:val="26"/>
          <w:szCs w:val="26"/>
          <w:lang w:val="ru-RU" w:eastAsia="ru-RU" w:bidi="ru-RU"/>
        </w:rPr>
      </w:r>
    </w:p>
    <w:p>
      <w:pPr>
        <w:pStyle w:val="Style22"/>
        <w:keepNext w:val="false"/>
        <w:keepLines w:val="false"/>
        <w:widowControl w:val="false"/>
        <w:shd w:val="clear" w:color="auto" w:fill="auto"/>
        <w:tabs>
          <w:tab w:val="clear" w:pos="720"/>
          <w:tab w:val="left" w:pos="350" w:leader="none"/>
        </w:tabs>
        <w:bidi w:val="0"/>
        <w:spacing w:lineRule="auto" w:line="180" w:before="0" w:after="0"/>
        <w:ind w:left="0" w:right="0" w:hanging="0"/>
        <w:jc w:val="left"/>
        <w:rPr>
          <w:sz w:val="11"/>
          <w:szCs w:val="11"/>
        </w:rPr>
      </w:pPr>
      <w:r>
        <w:rPr>
          <w:color w:val="96B9EF"/>
          <w:spacing w:val="0"/>
          <w:w w:val="100"/>
          <w:sz w:val="11"/>
          <w:szCs w:val="11"/>
          <w:shd w:fill="auto" w:val="clear"/>
          <w:lang w:val="ru-RU" w:eastAsia="ru-RU" w:bidi="ru-RU"/>
        </w:rPr>
        <w:t>-7 »</w:t>
        <w:tab/>
        <w:t>&gt;</w:t>
      </w:r>
    </w:p>
    <w:p>
      <w:pPr>
        <w:pStyle w:val="Normal"/>
        <w:widowControl w:val="false"/>
        <w:spacing w:lineRule="exact" w:line="1" w:before="0" w:after="299"/>
        <w:rPr/>
      </w:pPr>
      <w:r>
        <w:rPr/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ДОКЛАД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lineRule="auto" w:line="182" w:before="0" w:after="18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об антимонопольном комплаенсе за 2021 год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600"/>
        <w:jc w:val="both"/>
        <w:rPr/>
      </w:pPr>
      <w:bookmarkStart w:id="0" w:name="bookmark0"/>
      <w:bookmarkStart w:id="1" w:name="bookmark1"/>
      <w:bookmarkEnd w:id="0"/>
      <w:bookmarkEnd w:id="1"/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В соответствии с пунктом 3 распоряжения Губернатора Приморского 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края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 от 28.02.2019 №52-рг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 администрацией Дальнегорского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shd w:fill="auto" w:val="clear"/>
          <w:lang w:val="ru-RU" w:eastAsia="ru-RU" w:bidi="ru-RU"/>
        </w:rPr>
        <w:t>гор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shd w:fill="auto" w:val="clear"/>
          <w:lang w:val="ru-RU" w:eastAsia="ru-RU" w:bidi="ru-RU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shd w:fill="auto" w:val="clear"/>
          <w:lang w:val="ru-RU" w:eastAsia="ru-RU" w:bidi="ru-RU"/>
        </w:rPr>
        <w:t>дского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 округа, разработана и утверждена дорожая карта по снижению рисков нарушения антимонопольного законодательства </w:t>
      </w:r>
      <w:r>
        <w:rPr>
          <w:color w:val="000000"/>
          <w:spacing w:val="0"/>
          <w:w w:val="100"/>
          <w:lang w:val="ru-RU" w:eastAsia="ru-RU" w:bidi="ru-RU"/>
        </w:rPr>
        <w:t xml:space="preserve">(распоряжение администрации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 w:eastAsia="ru-RU" w:bidi="ru-RU"/>
        </w:rPr>
        <w:t>Дальнегорского</w:t>
      </w:r>
      <w:r>
        <w:rPr>
          <w:color w:val="000000"/>
          <w:spacing w:val="0"/>
          <w:w w:val="100"/>
          <w:lang w:val="ru-RU" w:eastAsia="ru-RU" w:bidi="ru-RU"/>
        </w:rPr>
        <w:t xml:space="preserve"> городского округа от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 w:eastAsia="ru-RU" w:bidi="ru-RU"/>
        </w:rPr>
        <w:t>26</w:t>
      </w:r>
      <w:r>
        <w:rPr>
          <w:color w:val="000000"/>
          <w:spacing w:val="0"/>
          <w:w w:val="100"/>
          <w:lang w:val="ru-RU" w:eastAsia="ru-RU" w:bidi="ru-RU"/>
        </w:rPr>
        <w:t>.03.2021г. 54-ра)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;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60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Дорожная карта предусматривает:</w:t>
      </w:r>
    </w:p>
    <w:p>
      <w:pPr>
        <w:pStyle w:val="Style18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802" w:leader="none"/>
        </w:tabs>
        <w:bidi w:val="0"/>
        <w:spacing w:before="0" w:after="0"/>
        <w:ind w:left="0" w:right="0" w:firstLine="60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сбор и анализ информации о нарушениях антимонопольного законодательства администрацией Дальнегорского городского округа (далее-администрация);</w:t>
      </w:r>
    </w:p>
    <w:p>
      <w:pPr>
        <w:pStyle w:val="Style18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802" w:leader="none"/>
        </w:tabs>
        <w:bidi w:val="0"/>
        <w:spacing w:before="0" w:after="0"/>
        <w:ind w:left="0" w:right="0" w:firstLine="60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сбор и анализ информации о нарушениях антимонопольного законодательства в проектах и нормативных правовых актах;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ab/>
        <w:t>организацию обучения муниципальных служащих администрации требованиям антимонопольного комплаенса.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60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В реализации дорожной карты участвовали структурные подразделения администрации.</w:t>
      </w:r>
    </w:p>
    <w:p>
      <w:pPr>
        <w:pStyle w:val="12"/>
        <w:keepNext w:val="true"/>
        <w:keepLines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884" w:leader="none"/>
        </w:tabs>
        <w:bidi w:val="0"/>
        <w:spacing w:lineRule="auto" w:line="276" w:before="0" w:after="0"/>
        <w:ind w:left="0" w:right="0" w:firstLine="60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Действия, принятые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shd w:fill="auto" w:val="clear"/>
          <w:lang w:val="ru-RU" w:eastAsia="ru-RU" w:bidi="ru-RU"/>
        </w:rPr>
        <w:t xml:space="preserve">администрацией в целях выявления и оценки рисков нарушения антимонопольного законодательства </w:t>
      </w:r>
      <w:bookmarkStart w:id="2" w:name="bookmark2"/>
      <w:bookmarkStart w:id="3" w:name="bookmark3"/>
      <w:r>
        <w:rPr>
          <w:color w:val="000000"/>
          <w:spacing w:val="0"/>
          <w:w w:val="100"/>
          <w:shd w:fill="auto" w:val="clear"/>
          <w:lang w:val="ru-RU" w:eastAsia="ru-RU" w:bidi="ru-RU"/>
        </w:rPr>
        <w:t>.</w:t>
      </w:r>
      <w:bookmarkEnd w:id="2"/>
      <w:bookmarkEnd w:id="3"/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lineRule="auto" w:line="259" w:before="0" w:after="0"/>
        <w:ind w:left="0" w:right="0" w:firstLine="60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Во исполнение дорожной карты, выявления и исключения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(проекты нормативных правовых актов) на официальном сайте администрации </w:t>
      </w:r>
      <w:hyperlink r:id="rId2">
        <w:r>
          <w:rPr>
            <w:color w:val="000000"/>
            <w:spacing w:val="0"/>
            <w:w w:val="100"/>
            <w:shd w:fill="auto" w:val="clear"/>
            <w:lang w:val="en-US" w:eastAsia="en-US" w:bidi="en-US"/>
          </w:rPr>
          <w:t>http://dalnegorsk-mo.ru/inova_block_documentset/document/336586/</w:t>
        </w:r>
      </w:hyperlink>
      <w:r>
        <w:rPr>
          <w:color w:val="000000"/>
          <w:spacing w:val="0"/>
          <w:w w:val="100"/>
          <w:shd w:fill="auto" w:val="clear"/>
          <w:lang w:val="en-US" w:eastAsia="en-US" w:bidi="en-US"/>
        </w:rPr>
        <w:t xml:space="preserve">, 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в информационно-телекоммуникационной сети «Интернет» (далее - официальный сайт) в разделе </w:t>
      </w:r>
      <w:r>
        <w:rPr>
          <w:color w:val="000000"/>
          <w:spacing w:val="0"/>
          <w:w w:val="100"/>
          <w:lang w:val="ru-RU" w:eastAsia="ru-RU" w:bidi="ru-RU"/>
        </w:rPr>
        <w:t>«Нормотворчество»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 размещены ссылки на перечень нормативных правовых актов и проектов нормативных правовых актов администрации, разработанных в 2021 году.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lineRule="auto" w:line="266" w:before="0" w:after="80"/>
        <w:ind w:left="0" w:right="0" w:firstLine="60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shd w:fill="auto" w:val="clear"/>
          <w:lang w:val="ru-RU" w:eastAsia="ru-RU" w:bidi="ru-RU"/>
        </w:rPr>
        <w:t>2. Результат проведенной оценки рисков нарушения антимонопольного законодательства.</w:t>
      </w:r>
    </w:p>
    <w:p>
      <w:pPr>
        <w:pStyle w:val="Style18"/>
        <w:widowControl w:val="false"/>
        <w:shd w:val="clear" w:color="auto" w:fill="auto"/>
        <w:bidi w:val="0"/>
        <w:spacing w:lineRule="auto" w:line="266" w:before="0" w:after="80"/>
        <w:ind w:left="0" w:right="0" w:firstLine="60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26.03.2021г. на официальном сайте администрацией размещено Распоряжение администрации №54-ра «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w w:val="100"/>
          <w:sz w:val="26"/>
          <w:szCs w:val="26"/>
          <w:shd w:fill="auto" w:val="clear"/>
          <w:lang w:val="ru-RU" w:eastAsia="ru-RU" w:bidi="ru-RU"/>
        </w:rPr>
        <w:t>О реализации мероприятий по организации системы внутреннего обеспечения соответствия требованиям антимонопольного законодательства в администрации Дальнегорского городского округа (антимонопольный комплаенс)»</w:t>
      </w:r>
    </w:p>
    <w:p>
      <w:pPr>
        <w:pStyle w:val="Style18"/>
        <w:widowControl w:val="false"/>
        <w:shd w:val="clear" w:color="auto" w:fill="auto"/>
        <w:bidi w:val="0"/>
        <w:spacing w:lineRule="auto" w:line="266" w:before="0" w:after="80"/>
        <w:ind w:left="0" w:right="0" w:firstLine="60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shd w:fill="auto" w:val="clear"/>
          <w:lang w:val="ru-RU" w:eastAsia="ru-RU" w:bidi="ru-RU"/>
        </w:rPr>
        <w:t>Данным распоряжением, в целях выявления и оценки рисков нарушения антимонопольного законодательства утвержден план мероприятий («дорожная карта») по снижению комплаенс-рисков администрации Дальнегорского городского округа на 2022 года.</w:t>
      </w:r>
    </w:p>
    <w:p>
      <w:pPr>
        <w:pStyle w:val="Style18"/>
        <w:widowControl w:val="false"/>
        <w:shd w:val="clear" w:color="auto" w:fill="auto"/>
        <w:bidi w:val="0"/>
        <w:spacing w:lineRule="auto" w:line="266" w:before="0" w:after="80"/>
        <w:ind w:left="0" w:right="0" w:firstLine="60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shd w:fill="auto" w:val="clear"/>
          <w:lang w:val="ru-RU" w:eastAsia="ru-RU" w:bidi="ru-RU"/>
        </w:rPr>
        <w:t xml:space="preserve">3. Исполнение мероприятий по снижению рисков нарушения антимонопольного законодательства. </w:t>
      </w:r>
    </w:p>
    <w:p>
      <w:pPr>
        <w:pStyle w:val="Style18"/>
        <w:widowControl w:val="false"/>
        <w:shd w:val="clear" w:color="auto" w:fill="auto"/>
        <w:bidi w:val="0"/>
        <w:spacing w:before="0" w:after="0"/>
        <w:ind w:left="0" w:right="0" w:firstLine="620"/>
        <w:jc w:val="both"/>
        <w:rPr/>
      </w:pPr>
      <w:bookmarkStart w:id="4" w:name="bookmark6"/>
      <w:bookmarkStart w:id="5" w:name="bookmark7"/>
      <w:bookmarkStart w:id="6" w:name="bookmark4"/>
      <w:bookmarkStart w:id="7" w:name="bookmark5"/>
      <w:r>
        <w:rPr>
          <w:color w:val="000000"/>
          <w:spacing w:val="0"/>
          <w:w w:val="100"/>
          <w:shd w:fill="auto" w:val="clear"/>
          <w:lang w:val="ru-RU" w:eastAsia="ru-RU" w:bidi="ru-RU"/>
        </w:rPr>
        <w:t>По итогам истекшего 2021 года при проведении анализа нормативных правовых актов (проектов нормативных правовых актов) сделан вывод об их соответствии антимонопольному законодательству.</w:t>
      </w:r>
      <w:bookmarkEnd w:id="4"/>
      <w:bookmarkEnd w:id="5"/>
      <w:bookmarkEnd w:id="6"/>
      <w:bookmarkEnd w:id="7"/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62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В результате мониторинга и анализа практики применения ФАС России, нарушений антимонопольного законодательства в части деятельности администрации не выявлено. Нарушения в нормативных правовых актах администрации антимонопольными органами также не выявлены.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62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Обжалование нормативных правовых актов администрации, рассмотрение дел в судебных инстанциях по вопросам возможного нарушения норм антимонопольного законодательства не осуществлялось.</w:t>
      </w:r>
    </w:p>
    <w:p>
      <w:pPr>
        <w:pStyle w:val="12"/>
        <w:keepNext w:val="true"/>
        <w:keepLines/>
        <w:widowControl w:val="false"/>
        <w:shd w:val="clear" w:color="auto" w:fill="auto"/>
        <w:tabs>
          <w:tab w:val="clear" w:pos="720"/>
          <w:tab w:val="left" w:pos="902" w:leader="none"/>
        </w:tabs>
        <w:bidi w:val="0"/>
        <w:spacing w:before="0" w:after="0"/>
        <w:ind w:left="0" w:right="0" w:firstLine="62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4. Информация о достижении ключевых показателей эффективности реализации антимонопольного комплаенса.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lineRule="auto" w:line="264" w:before="0" w:after="0"/>
        <w:ind w:left="0" w:right="0" w:firstLine="62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Методика расчётов ключевых показателей эффективности функционирования в органах исполнительной власти антимонопольного комплаенса утверждена приказом ФАС России от 05.02.2019 № 133/19.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lineRule="auto" w:line="266" w:before="0" w:after="0"/>
        <w:ind w:left="0" w:right="0" w:firstLine="62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Ключевыми показателями эффективности антимонопольного комплаенса в администрации являются:</w:t>
      </w:r>
    </w:p>
    <w:p>
      <w:pPr>
        <w:pStyle w:val="Style18"/>
        <w:keepNext w:val="false"/>
        <w:keepLines w:val="false"/>
        <w:widowControl w:val="false"/>
        <w:shd w:val="clear" w:color="auto" w:fill="auto"/>
        <w:tabs>
          <w:tab w:val="clear" w:pos="720"/>
          <w:tab w:val="left" w:pos="903" w:leader="none"/>
        </w:tabs>
        <w:bidi w:val="0"/>
        <w:spacing w:lineRule="auto" w:line="266" w:before="0" w:after="0"/>
        <w:ind w:left="0" w:right="0" w:firstLine="62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а)</w:t>
        <w:tab/>
        <w:t>коэффициент снижения нарушений антимонопольного законодательства со стороны администрации;</w:t>
      </w:r>
    </w:p>
    <w:p>
      <w:pPr>
        <w:pStyle w:val="Style18"/>
        <w:keepNext w:val="false"/>
        <w:keepLines w:val="false"/>
        <w:widowControl w:val="false"/>
        <w:shd w:val="clear" w:color="auto" w:fill="auto"/>
        <w:tabs>
          <w:tab w:val="clear" w:pos="720"/>
          <w:tab w:val="left" w:pos="913" w:leader="none"/>
        </w:tabs>
        <w:bidi w:val="0"/>
        <w:spacing w:lineRule="auto" w:line="276" w:before="0" w:after="0"/>
        <w:ind w:left="0" w:right="0" w:firstLine="62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б)</w:t>
        <w:tab/>
        <w:t>доля проектов нормативных правовых актов администрации, в которых выявлены риски нарушения антимонопольного законодательства;</w:t>
      </w:r>
    </w:p>
    <w:p>
      <w:pPr>
        <w:pStyle w:val="Style18"/>
        <w:keepNext w:val="false"/>
        <w:keepLines w:val="false"/>
        <w:widowControl w:val="false"/>
        <w:shd w:val="clear" w:color="auto" w:fill="auto"/>
        <w:tabs>
          <w:tab w:val="clear" w:pos="720"/>
          <w:tab w:val="left" w:pos="918" w:leader="none"/>
        </w:tabs>
        <w:bidi w:val="0"/>
        <w:spacing w:lineRule="auto" w:line="276" w:before="0" w:after="0"/>
        <w:ind w:left="0" w:right="0" w:firstLine="62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в)</w:t>
        <w:tab/>
        <w:t>доля нормативных правовых актов администрации, в которых выявлены риски нарушения антимонопольного законодательства.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lineRule="auto" w:line="264" w:before="0" w:after="0"/>
        <w:ind w:left="0" w:right="0" w:firstLine="58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При проведении оценки достижения показателей эффективности антимонопольного комплаенса получены положительные значения. Данное обстоятельство говорит о том, что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shd w:fill="auto" w:val="clear"/>
          <w:lang w:val="ru-RU" w:eastAsia="ru-RU" w:bidi="ru-RU"/>
        </w:rPr>
        <w:t>к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лючевые показатели эффективности антимонопольного комплаенса в отчетный период администрацией достигну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т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ы.</w:t>
      </w:r>
    </w:p>
    <w:sectPr>
      <w:type w:val="nextPage"/>
      <w:pgSz w:w="11906" w:h="16838"/>
      <w:pgMar w:left="1786" w:right="765" w:header="0" w:top="1445" w:footer="0" w:bottom="149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>
    <w:doNotExpandShiftReturn/>
  </w:compat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qFormat/>
    <w:rPr>
      <w:rFonts w:ascii="Tahoma" w:hAnsi="Tahoma" w:eastAsia="Tahoma" w:cs="Tahoma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Style13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4" w:customStyle="1">
    <w:name w:val="Подпись к таблице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5" w:customStyle="1">
    <w:name w:val="Другое_"/>
    <w:basedOn w:val="DefaultParagraphFont"/>
    <w:link w:val="Style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11" w:customStyle="1">
    <w:name w:val="Заголовок №1_"/>
    <w:basedOn w:val="DefaultParagraphFont"/>
    <w:link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 w:customStyle="1">
    <w:name w:val="Body Text"/>
    <w:basedOn w:val="Normal"/>
    <w:link w:val="CharStyle3"/>
    <w:pPr>
      <w:widowControl w:val="false"/>
      <w:shd w:val="clear" w:color="auto" w:fill="FFFFFF"/>
      <w:spacing w:lineRule="auto" w:line="259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Style19">
    <w:name w:val="List"/>
    <w:basedOn w:val="Style18"/>
    <w:pPr>
      <w:shd w:val="clear" w:fill="FFFFFF"/>
    </w:pPr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Подпись к таблице"/>
    <w:basedOn w:val="Normal"/>
    <w:link w:val="CharStyle5"/>
    <w:qFormat/>
    <w:pPr>
      <w:widowControl w:val="false"/>
      <w:shd w:val="clear" w:color="auto" w:fill="FFFFFF"/>
      <w:spacing w:lineRule="auto" w:line="192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Style23" w:customStyle="1">
    <w:name w:val="Другое"/>
    <w:basedOn w:val="Normal"/>
    <w:link w:val="CharStyle10"/>
    <w:qFormat/>
    <w:pPr>
      <w:widowControl w:val="false"/>
      <w:shd w:val="clear" w:color="auto" w:fill="FFFFFF"/>
      <w:spacing w:lineRule="auto" w:line="259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12" w:customStyle="1">
    <w:name w:val="Заголовок №1"/>
    <w:basedOn w:val="Normal"/>
    <w:link w:val="CharStyle16"/>
    <w:qFormat/>
    <w:pPr>
      <w:widowControl w:val="false"/>
      <w:shd w:val="clear" w:color="auto" w:fill="FFFFFF"/>
      <w:spacing w:lineRule="auto" w:line="264"/>
      <w:ind w:left="0" w:right="0" w:firstLine="620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brraion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LibreOffice/6.4.3.2$Windows_X86_64 LibreOffice_project/747b5d0ebf89f41c860ec2a39efd7cb15b54f2d8</Application>
  <Pages>2</Pages>
  <Words>445</Words>
  <Characters>3772</Characters>
  <CharactersWithSpaces>4190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2022-02-28T16:07:25Z</dcterms:modified>
  <cp:revision>2</cp:revision>
  <dc:subject/>
  <dc:title/>
</cp:coreProperties>
</file>